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9F7F3" w14:textId="77777777" w:rsidR="00417D71" w:rsidRPr="008A1811" w:rsidRDefault="00417D71" w:rsidP="00417D71">
      <w:pPr>
        <w:spacing w:after="0" w:line="240" w:lineRule="auto"/>
        <w:jc w:val="right"/>
        <w:rPr>
          <w:rFonts w:ascii="Microsoft Sans Serif" w:hAnsi="Microsoft Sans Serif" w:cs="Microsoft Sans Serif"/>
          <w:b/>
          <w:bCs/>
          <w:color w:val="333333"/>
        </w:rPr>
      </w:pPr>
      <w:r>
        <w:rPr>
          <w:rFonts w:ascii="Microsoft Sans Serif" w:hAnsi="Microsoft Sans Serif" w:cs="Microsoft Sans Serif"/>
          <w:b/>
          <w:bCs/>
          <w:noProof/>
          <w:color w:val="333333"/>
        </w:rPr>
        <w:drawing>
          <wp:anchor distT="0" distB="0" distL="114300" distR="114300" simplePos="0" relativeHeight="251659264" behindDoc="1" locked="0" layoutInCell="1" allowOverlap="1" wp14:anchorId="277649A2" wp14:editId="7FF395CD">
            <wp:simplePos x="0" y="0"/>
            <wp:positionH relativeFrom="column">
              <wp:posOffset>0</wp:posOffset>
            </wp:positionH>
            <wp:positionV relativeFrom="paragraph">
              <wp:posOffset>-177594</wp:posOffset>
            </wp:positionV>
            <wp:extent cx="1307592" cy="768096"/>
            <wp:effectExtent l="0" t="0" r="698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rysville_Full_Lockup_Color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07592" cy="768096"/>
                    </a:xfrm>
                    <a:prstGeom prst="rect">
                      <a:avLst/>
                    </a:prstGeom>
                  </pic:spPr>
                </pic:pic>
              </a:graphicData>
            </a:graphic>
            <wp14:sizeRelH relativeFrom="margin">
              <wp14:pctWidth>0</wp14:pctWidth>
            </wp14:sizeRelH>
            <wp14:sizeRelV relativeFrom="margin">
              <wp14:pctHeight>0</wp14:pctHeight>
            </wp14:sizeRelV>
          </wp:anchor>
        </w:drawing>
      </w:r>
      <w:r w:rsidRPr="008A1811">
        <w:rPr>
          <w:rFonts w:ascii="Microsoft Sans Serif" w:hAnsi="Microsoft Sans Serif" w:cs="Microsoft Sans Serif"/>
          <w:b/>
          <w:bCs/>
          <w:color w:val="333333"/>
        </w:rPr>
        <w:t>COMMUNITY DEVELOPMENT DEPARTMENT</w:t>
      </w:r>
    </w:p>
    <w:p w14:paraId="3459E890" w14:textId="209A1F79" w:rsidR="00417D71" w:rsidRPr="008C6894" w:rsidRDefault="00C95B2E" w:rsidP="00417D71">
      <w:pPr>
        <w:pStyle w:val="Heading2"/>
        <w:tabs>
          <w:tab w:val="clear" w:pos="9360"/>
        </w:tabs>
        <w:jc w:val="right"/>
        <w:rPr>
          <w:rFonts w:ascii="Verdana" w:hAnsi="Verdana"/>
          <w:b w:val="0"/>
          <w:bCs w:val="0"/>
          <w:color w:val="4D4D4D"/>
          <w:sz w:val="22"/>
        </w:rPr>
      </w:pPr>
      <w:r>
        <w:rPr>
          <w:rFonts w:ascii="Microsoft Sans Serif" w:hAnsi="Microsoft Sans Serif" w:cs="Microsoft Sans Serif"/>
          <w:b w:val="0"/>
          <w:bCs w:val="0"/>
          <w:color w:val="4D4D4D"/>
          <w:sz w:val="22"/>
        </w:rPr>
        <w:t>501 Delta</w:t>
      </w:r>
      <w:r w:rsidR="00417D71" w:rsidRPr="008C6894">
        <w:rPr>
          <w:rFonts w:ascii="Microsoft Sans Serif" w:hAnsi="Microsoft Sans Serif" w:cs="Microsoft Sans Serif"/>
          <w:b w:val="0"/>
          <w:bCs w:val="0"/>
          <w:color w:val="4D4D4D"/>
          <w:sz w:val="22"/>
        </w:rPr>
        <w:t xml:space="preserve"> Avenue</w:t>
      </w:r>
      <w:r w:rsidR="00417D71" w:rsidRPr="008C6894">
        <w:rPr>
          <w:rFonts w:ascii="Verdana" w:hAnsi="Verdana"/>
          <w:b w:val="0"/>
          <w:bCs w:val="0"/>
          <w:color w:val="4D4D4D"/>
          <w:sz w:val="22"/>
        </w:rPr>
        <w:t xml:space="preserve"> </w:t>
      </w:r>
      <w:r w:rsidR="00417D71" w:rsidRPr="008C6894">
        <w:rPr>
          <w:rFonts w:ascii="Wingdings" w:hAnsi="Wingdings"/>
          <w:b w:val="0"/>
          <w:bCs w:val="0"/>
          <w:color w:val="4D4D4D"/>
          <w:sz w:val="22"/>
        </w:rPr>
        <w:t></w:t>
      </w:r>
      <w:r w:rsidR="00417D71" w:rsidRPr="008C6894">
        <w:rPr>
          <w:rFonts w:ascii="Verdana" w:hAnsi="Verdana"/>
          <w:b w:val="0"/>
          <w:bCs w:val="0"/>
          <w:color w:val="4D4D4D"/>
          <w:sz w:val="22"/>
        </w:rPr>
        <w:t xml:space="preserve"> </w:t>
      </w:r>
      <w:r w:rsidR="00417D71" w:rsidRPr="008C6894">
        <w:rPr>
          <w:rFonts w:ascii="Microsoft Sans Serif" w:hAnsi="Microsoft Sans Serif" w:cs="Microsoft Sans Serif"/>
          <w:b w:val="0"/>
          <w:bCs w:val="0"/>
          <w:color w:val="4D4D4D"/>
          <w:sz w:val="22"/>
        </w:rPr>
        <w:t>Marysville, WA 98270</w:t>
      </w:r>
    </w:p>
    <w:p w14:paraId="501F4752" w14:textId="77777777" w:rsidR="00B83111" w:rsidRDefault="00B83111" w:rsidP="00C6545E">
      <w:pPr>
        <w:spacing w:after="0"/>
        <w:rPr>
          <w:rFonts w:ascii="Verdana" w:hAnsi="Verdana"/>
          <w:noProof/>
          <w:sz w:val="17"/>
          <w:szCs w:val="17"/>
        </w:rPr>
      </w:pPr>
    </w:p>
    <w:p w14:paraId="58FB0614" w14:textId="32DDDD7E" w:rsidR="00C6545E" w:rsidRPr="00885CBC" w:rsidRDefault="00C6545E" w:rsidP="00C6545E">
      <w:pPr>
        <w:spacing w:after="0" w:line="240" w:lineRule="auto"/>
        <w:rPr>
          <w:rFonts w:ascii="Verdana" w:eastAsia="Times New Roman" w:hAnsi="Verdana" w:cs="Times New Roman"/>
          <w:sz w:val="20"/>
          <w:szCs w:val="20"/>
          <w:highlight w:val="yellow"/>
        </w:rPr>
      </w:pPr>
    </w:p>
    <w:p w14:paraId="495E9D00" w14:textId="77777777" w:rsidR="00E712C6" w:rsidRPr="00E712C6" w:rsidRDefault="00E712C6" w:rsidP="00E712C6">
      <w:pPr>
        <w:rPr>
          <w:rFonts w:ascii="Verdana" w:hAnsi="Verdana"/>
          <w:b/>
        </w:rPr>
      </w:pPr>
    </w:p>
    <w:p w14:paraId="11859AFA" w14:textId="0486FB2D" w:rsidR="00E712C6" w:rsidRPr="003B4293" w:rsidRDefault="00E712C6" w:rsidP="00E712C6">
      <w:pPr>
        <w:rPr>
          <w:rFonts w:ascii="Verdana" w:hAnsi="Verdana"/>
          <w:b/>
          <w:sz w:val="28"/>
          <w:szCs w:val="28"/>
        </w:rPr>
      </w:pPr>
      <w:r w:rsidRPr="003B4293">
        <w:rPr>
          <w:rFonts w:ascii="Verdana" w:hAnsi="Verdana"/>
          <w:b/>
          <w:sz w:val="28"/>
          <w:szCs w:val="28"/>
        </w:rPr>
        <w:t>MEMORANDUM</w:t>
      </w:r>
    </w:p>
    <w:p w14:paraId="0198E60E" w14:textId="269E2746" w:rsidR="004247C1" w:rsidRDefault="004247C1" w:rsidP="00DB7858">
      <w:pPr>
        <w:ind w:right="720"/>
        <w:rPr>
          <w:rFonts w:ascii="Verdana" w:hAnsi="Verdana"/>
          <w:sz w:val="20"/>
          <w:szCs w:val="20"/>
        </w:rPr>
      </w:pPr>
      <w:r w:rsidRPr="00A55DC7">
        <w:rPr>
          <w:rFonts w:ascii="Verdana" w:hAnsi="Verdana"/>
          <w:b/>
          <w:sz w:val="20"/>
          <w:szCs w:val="20"/>
        </w:rPr>
        <w:t>DATE</w:t>
      </w:r>
      <w:r>
        <w:rPr>
          <w:rFonts w:ascii="Verdana" w:hAnsi="Verdana"/>
          <w:sz w:val="20"/>
          <w:szCs w:val="20"/>
        </w:rPr>
        <w:t>:</w:t>
      </w:r>
      <w:r>
        <w:rPr>
          <w:rFonts w:ascii="Verdana" w:hAnsi="Verdana"/>
          <w:sz w:val="20"/>
          <w:szCs w:val="20"/>
        </w:rPr>
        <w:tab/>
      </w:r>
      <w:r>
        <w:rPr>
          <w:rFonts w:ascii="Verdana" w:hAnsi="Verdana"/>
          <w:sz w:val="20"/>
          <w:szCs w:val="20"/>
        </w:rPr>
        <w:tab/>
      </w:r>
      <w:r w:rsidR="007C1098">
        <w:rPr>
          <w:rFonts w:ascii="Verdana" w:hAnsi="Verdana"/>
          <w:sz w:val="20"/>
          <w:szCs w:val="20"/>
        </w:rPr>
        <w:t xml:space="preserve">January 31, 2023 </w:t>
      </w:r>
      <w:r w:rsidR="009D5A62">
        <w:rPr>
          <w:rFonts w:ascii="Verdana" w:hAnsi="Verdana"/>
          <w:sz w:val="20"/>
          <w:szCs w:val="20"/>
        </w:rPr>
        <w:t xml:space="preserve"> </w:t>
      </w:r>
    </w:p>
    <w:p w14:paraId="4D973612" w14:textId="628E1F37" w:rsidR="00E712C6" w:rsidRPr="00E712C6" w:rsidRDefault="00E712C6" w:rsidP="00DB7858">
      <w:pPr>
        <w:ind w:right="720"/>
        <w:rPr>
          <w:rFonts w:ascii="Verdana" w:hAnsi="Verdana"/>
          <w:sz w:val="20"/>
          <w:szCs w:val="20"/>
        </w:rPr>
      </w:pPr>
      <w:r w:rsidRPr="00A55DC7">
        <w:rPr>
          <w:rFonts w:ascii="Verdana" w:hAnsi="Verdana"/>
          <w:b/>
          <w:sz w:val="20"/>
          <w:szCs w:val="20"/>
        </w:rPr>
        <w:t>TO</w:t>
      </w:r>
      <w:r w:rsidRPr="00E712C6">
        <w:rPr>
          <w:rFonts w:ascii="Verdana" w:hAnsi="Verdana"/>
          <w:sz w:val="20"/>
          <w:szCs w:val="20"/>
        </w:rPr>
        <w:t>:</w:t>
      </w:r>
      <w:r w:rsidRPr="00E712C6">
        <w:rPr>
          <w:rFonts w:ascii="Verdana" w:hAnsi="Verdana"/>
          <w:sz w:val="20"/>
          <w:szCs w:val="20"/>
        </w:rPr>
        <w:tab/>
      </w:r>
      <w:r w:rsidRPr="00E712C6">
        <w:rPr>
          <w:rFonts w:ascii="Verdana" w:hAnsi="Verdana"/>
          <w:sz w:val="20"/>
          <w:szCs w:val="20"/>
        </w:rPr>
        <w:tab/>
      </w:r>
      <w:r w:rsidR="007C1098">
        <w:rPr>
          <w:rFonts w:ascii="Verdana" w:hAnsi="Verdana"/>
          <w:sz w:val="20"/>
          <w:szCs w:val="20"/>
        </w:rPr>
        <w:t xml:space="preserve">City Council </w:t>
      </w:r>
    </w:p>
    <w:p w14:paraId="3D0234CB" w14:textId="1F86851C" w:rsidR="00E712C6" w:rsidRPr="00E712C6" w:rsidRDefault="00E712C6" w:rsidP="00DB7858">
      <w:pPr>
        <w:ind w:right="720"/>
        <w:rPr>
          <w:rFonts w:ascii="Verdana" w:hAnsi="Verdana"/>
          <w:sz w:val="20"/>
          <w:szCs w:val="20"/>
        </w:rPr>
      </w:pPr>
      <w:r w:rsidRPr="00A55DC7">
        <w:rPr>
          <w:rFonts w:ascii="Verdana" w:hAnsi="Verdana"/>
          <w:b/>
          <w:sz w:val="20"/>
          <w:szCs w:val="20"/>
        </w:rPr>
        <w:t>FROM</w:t>
      </w:r>
      <w:r w:rsidRPr="00E712C6">
        <w:rPr>
          <w:rFonts w:ascii="Verdana" w:hAnsi="Verdana"/>
          <w:sz w:val="20"/>
          <w:szCs w:val="20"/>
        </w:rPr>
        <w:t>:</w:t>
      </w:r>
      <w:r>
        <w:rPr>
          <w:rFonts w:ascii="Verdana" w:hAnsi="Verdana"/>
          <w:sz w:val="20"/>
          <w:szCs w:val="20"/>
        </w:rPr>
        <w:tab/>
        <w:t xml:space="preserve">Angela Gemmer, </w:t>
      </w:r>
      <w:r w:rsidR="00E342AC">
        <w:rPr>
          <w:rFonts w:ascii="Verdana" w:hAnsi="Verdana"/>
          <w:sz w:val="20"/>
          <w:szCs w:val="20"/>
        </w:rPr>
        <w:t xml:space="preserve">Principal Planner </w:t>
      </w:r>
    </w:p>
    <w:p w14:paraId="396BEED6" w14:textId="7D8D4F70" w:rsidR="00E712C6" w:rsidRDefault="00E712C6" w:rsidP="00DB7858">
      <w:pPr>
        <w:spacing w:after="0" w:line="240" w:lineRule="auto"/>
        <w:ind w:left="1440" w:right="720" w:hanging="1440"/>
        <w:rPr>
          <w:rFonts w:ascii="Verdana" w:hAnsi="Verdana"/>
          <w:sz w:val="20"/>
          <w:szCs w:val="20"/>
        </w:rPr>
      </w:pPr>
      <w:r w:rsidRPr="00A55DC7">
        <w:rPr>
          <w:rFonts w:ascii="Verdana" w:hAnsi="Verdana"/>
          <w:b/>
          <w:sz w:val="20"/>
          <w:szCs w:val="20"/>
        </w:rPr>
        <w:t>SUBJECT</w:t>
      </w:r>
      <w:r w:rsidRPr="00E712C6">
        <w:rPr>
          <w:rFonts w:ascii="Verdana" w:hAnsi="Verdana"/>
          <w:sz w:val="20"/>
          <w:szCs w:val="20"/>
        </w:rPr>
        <w:t>:</w:t>
      </w:r>
      <w:r w:rsidRPr="00E712C6">
        <w:rPr>
          <w:rFonts w:ascii="Verdana" w:hAnsi="Verdana"/>
          <w:sz w:val="20"/>
          <w:szCs w:val="20"/>
        </w:rPr>
        <w:tab/>
      </w:r>
      <w:r w:rsidR="00575C96">
        <w:rPr>
          <w:rFonts w:ascii="Verdana" w:hAnsi="Verdana"/>
          <w:sz w:val="20"/>
          <w:szCs w:val="20"/>
        </w:rPr>
        <w:t xml:space="preserve">Residential Density Incentives (RDI) and Planned Residential Development </w:t>
      </w:r>
      <w:r w:rsidR="00554963">
        <w:rPr>
          <w:rFonts w:ascii="Verdana" w:hAnsi="Verdana"/>
          <w:sz w:val="20"/>
          <w:szCs w:val="20"/>
        </w:rPr>
        <w:t>(PRD) open s</w:t>
      </w:r>
      <w:r w:rsidR="00575C96">
        <w:rPr>
          <w:rFonts w:ascii="Verdana" w:hAnsi="Verdana"/>
          <w:sz w:val="20"/>
          <w:szCs w:val="20"/>
        </w:rPr>
        <w:t>pace code amendments</w:t>
      </w:r>
    </w:p>
    <w:p w14:paraId="157155DD" w14:textId="77777777" w:rsidR="00C10E33" w:rsidRPr="00E712C6" w:rsidRDefault="00C10E33" w:rsidP="00DB7858">
      <w:pPr>
        <w:spacing w:after="0" w:line="240" w:lineRule="auto"/>
        <w:ind w:right="720"/>
        <w:rPr>
          <w:rFonts w:ascii="Verdana" w:hAnsi="Verdana"/>
          <w:sz w:val="20"/>
          <w:szCs w:val="20"/>
        </w:rPr>
      </w:pPr>
    </w:p>
    <w:p w14:paraId="7CB663AD" w14:textId="1EC21B9C" w:rsidR="00E712C6" w:rsidRDefault="001B19A2" w:rsidP="00DB7858">
      <w:pPr>
        <w:spacing w:after="0"/>
        <w:ind w:right="720"/>
        <w:rPr>
          <w:rFonts w:ascii="Verdana" w:hAnsi="Verdana" w:cstheme="minorHAnsi"/>
          <w:sz w:val="20"/>
          <w:szCs w:val="20"/>
        </w:rPr>
      </w:pPr>
      <w:r>
        <w:rPr>
          <w:rFonts w:ascii="Verdana" w:hAnsi="Verdana" w:cstheme="minorHAnsi"/>
          <w:b/>
          <w:sz w:val="20"/>
          <w:szCs w:val="20"/>
        </w:rPr>
        <w:t>E</w:t>
      </w:r>
      <w:r w:rsidR="00E712C6" w:rsidRPr="00A55DC7">
        <w:rPr>
          <w:rFonts w:ascii="Verdana" w:hAnsi="Verdana" w:cstheme="minorHAnsi"/>
          <w:b/>
          <w:sz w:val="20"/>
          <w:szCs w:val="20"/>
        </w:rPr>
        <w:t>CC</w:t>
      </w:r>
      <w:r w:rsidR="00E712C6" w:rsidRPr="00E712C6">
        <w:rPr>
          <w:rFonts w:ascii="Verdana" w:hAnsi="Verdana" w:cstheme="minorHAnsi"/>
          <w:sz w:val="20"/>
          <w:szCs w:val="20"/>
        </w:rPr>
        <w:t>:</w:t>
      </w:r>
      <w:r w:rsidR="00E712C6" w:rsidRPr="00E712C6">
        <w:rPr>
          <w:rFonts w:ascii="Verdana" w:hAnsi="Verdana" w:cstheme="minorHAnsi"/>
          <w:sz w:val="20"/>
          <w:szCs w:val="20"/>
        </w:rPr>
        <w:tab/>
      </w:r>
      <w:r w:rsidR="00E712C6">
        <w:rPr>
          <w:rFonts w:ascii="Verdana" w:hAnsi="Verdana" w:cstheme="minorHAnsi"/>
          <w:sz w:val="20"/>
          <w:szCs w:val="20"/>
        </w:rPr>
        <w:tab/>
        <w:t xml:space="preserve">Haylie Miller, Community Development Director </w:t>
      </w:r>
    </w:p>
    <w:p w14:paraId="7C1ADF2D" w14:textId="33228C0A" w:rsidR="00E712C6" w:rsidRDefault="00E712C6" w:rsidP="00DB7858">
      <w:pPr>
        <w:spacing w:after="0"/>
        <w:ind w:right="720"/>
        <w:rPr>
          <w:rFonts w:ascii="Verdana" w:hAnsi="Verdana" w:cstheme="minorHAnsi"/>
          <w:sz w:val="20"/>
          <w:szCs w:val="20"/>
        </w:rPr>
      </w:pPr>
      <w:r>
        <w:rPr>
          <w:rFonts w:ascii="Verdana" w:hAnsi="Verdana" w:cstheme="minorHAnsi"/>
          <w:sz w:val="20"/>
          <w:szCs w:val="20"/>
        </w:rPr>
        <w:tab/>
      </w:r>
      <w:r>
        <w:rPr>
          <w:rFonts w:ascii="Verdana" w:hAnsi="Verdana" w:cstheme="minorHAnsi"/>
          <w:sz w:val="20"/>
          <w:szCs w:val="20"/>
        </w:rPr>
        <w:tab/>
        <w:t xml:space="preserve">Chris Holland, Planning Manager </w:t>
      </w:r>
    </w:p>
    <w:p w14:paraId="4F631C98" w14:textId="284CDF91" w:rsidR="00874DE3" w:rsidRDefault="00874DE3" w:rsidP="00DB7858">
      <w:pPr>
        <w:spacing w:after="0"/>
        <w:ind w:right="720"/>
        <w:rPr>
          <w:rFonts w:ascii="Verdana" w:hAnsi="Verdana" w:cstheme="minorHAnsi"/>
          <w:sz w:val="20"/>
          <w:szCs w:val="20"/>
        </w:rPr>
      </w:pPr>
    </w:p>
    <w:p w14:paraId="28298A2E" w14:textId="077A3275" w:rsidR="00874DE3" w:rsidRDefault="00874DE3" w:rsidP="00DB7858">
      <w:pPr>
        <w:spacing w:after="0"/>
        <w:ind w:left="1440" w:right="720" w:hanging="1440"/>
        <w:rPr>
          <w:rFonts w:ascii="Verdana" w:hAnsi="Verdana" w:cstheme="minorHAnsi"/>
          <w:sz w:val="20"/>
          <w:szCs w:val="20"/>
        </w:rPr>
      </w:pPr>
      <w:r w:rsidRPr="00874DE3">
        <w:rPr>
          <w:rFonts w:ascii="Verdana" w:hAnsi="Verdana" w:cstheme="minorHAnsi"/>
          <w:b/>
          <w:sz w:val="20"/>
          <w:szCs w:val="20"/>
        </w:rPr>
        <w:t>Exhibit 1</w:t>
      </w:r>
      <w:r w:rsidR="004C4F0F">
        <w:rPr>
          <w:rFonts w:ascii="Verdana" w:hAnsi="Verdana" w:cstheme="minorHAnsi"/>
          <w:sz w:val="20"/>
          <w:szCs w:val="20"/>
        </w:rPr>
        <w:t>:</w:t>
      </w:r>
      <w:r w:rsidR="004C4F0F">
        <w:rPr>
          <w:rFonts w:ascii="Verdana" w:hAnsi="Verdana" w:cstheme="minorHAnsi"/>
          <w:sz w:val="20"/>
          <w:szCs w:val="20"/>
        </w:rPr>
        <w:tab/>
      </w:r>
      <w:r w:rsidR="004C4F0F">
        <w:rPr>
          <w:rFonts w:ascii="Verdana" w:hAnsi="Verdana"/>
          <w:sz w:val="20"/>
          <w:szCs w:val="20"/>
        </w:rPr>
        <w:t xml:space="preserve">Residential Density Incentives (RDI) </w:t>
      </w:r>
      <w:r w:rsidR="00575C96">
        <w:rPr>
          <w:rFonts w:ascii="Verdana" w:hAnsi="Verdana"/>
          <w:sz w:val="20"/>
          <w:szCs w:val="20"/>
        </w:rPr>
        <w:t xml:space="preserve">and Planned Residential Development </w:t>
      </w:r>
      <w:r w:rsidR="00554963">
        <w:rPr>
          <w:rFonts w:ascii="Verdana" w:hAnsi="Verdana"/>
          <w:sz w:val="20"/>
          <w:szCs w:val="20"/>
        </w:rPr>
        <w:t>(PRD) open s</w:t>
      </w:r>
      <w:r w:rsidR="00575C96">
        <w:rPr>
          <w:rFonts w:ascii="Verdana" w:hAnsi="Verdana"/>
          <w:sz w:val="20"/>
          <w:szCs w:val="20"/>
        </w:rPr>
        <w:t>pace code amendments</w:t>
      </w:r>
    </w:p>
    <w:p w14:paraId="01C3D5D3" w14:textId="77777777" w:rsidR="00B10001" w:rsidRPr="00324050" w:rsidRDefault="00B10001" w:rsidP="00ED679A">
      <w:pPr>
        <w:spacing w:after="0"/>
        <w:jc w:val="both"/>
        <w:rPr>
          <w:rFonts w:ascii="Verdana" w:hAnsi="Verdana" w:cstheme="minorHAnsi"/>
          <w:sz w:val="20"/>
          <w:szCs w:val="20"/>
        </w:rPr>
      </w:pPr>
    </w:p>
    <w:p w14:paraId="67BD5C3F" w14:textId="0D940B07" w:rsidR="00554963" w:rsidRDefault="00CB6432" w:rsidP="00ED679A">
      <w:pPr>
        <w:spacing w:after="120" w:line="240" w:lineRule="auto"/>
        <w:jc w:val="both"/>
        <w:rPr>
          <w:rFonts w:ascii="Verdana" w:hAnsi="Verdana"/>
          <w:sz w:val="20"/>
          <w:szCs w:val="20"/>
        </w:rPr>
      </w:pPr>
      <w:r>
        <w:rPr>
          <w:rFonts w:ascii="Verdana" w:hAnsi="Verdana"/>
          <w:sz w:val="20"/>
          <w:szCs w:val="20"/>
        </w:rPr>
        <w:t>Attached</w:t>
      </w:r>
      <w:r w:rsidR="001E29F3">
        <w:rPr>
          <w:rFonts w:ascii="Verdana" w:hAnsi="Verdana"/>
          <w:sz w:val="20"/>
          <w:szCs w:val="20"/>
        </w:rPr>
        <w:t xml:space="preserve"> are proposed amendments to the Marysville Municipal Code (MMC) </w:t>
      </w:r>
      <w:r w:rsidR="00F1420C">
        <w:rPr>
          <w:rFonts w:ascii="Verdana" w:hAnsi="Verdana"/>
          <w:sz w:val="20"/>
          <w:szCs w:val="20"/>
        </w:rPr>
        <w:t xml:space="preserve">pertaining to Chapters 22A.020, </w:t>
      </w:r>
      <w:r w:rsidR="00F1420C" w:rsidRPr="00F1420C">
        <w:rPr>
          <w:rFonts w:ascii="Verdana" w:hAnsi="Verdana"/>
          <w:i/>
          <w:sz w:val="20"/>
          <w:szCs w:val="20"/>
        </w:rPr>
        <w:t>Definitions</w:t>
      </w:r>
      <w:r w:rsidR="00F1420C">
        <w:rPr>
          <w:rFonts w:ascii="Verdana" w:hAnsi="Verdana"/>
          <w:sz w:val="20"/>
          <w:szCs w:val="20"/>
        </w:rPr>
        <w:t xml:space="preserve">, 22C.090, </w:t>
      </w:r>
      <w:r w:rsidR="00575C96" w:rsidRPr="00F1420C">
        <w:rPr>
          <w:rFonts w:ascii="Verdana" w:hAnsi="Verdana"/>
          <w:i/>
          <w:sz w:val="20"/>
          <w:szCs w:val="20"/>
        </w:rPr>
        <w:t xml:space="preserve">Residential Density </w:t>
      </w:r>
      <w:r w:rsidR="00F1420C" w:rsidRPr="00F1420C">
        <w:rPr>
          <w:rFonts w:ascii="Verdana" w:hAnsi="Verdana"/>
          <w:i/>
          <w:sz w:val="20"/>
          <w:szCs w:val="20"/>
        </w:rPr>
        <w:t>Incentives</w:t>
      </w:r>
      <w:r w:rsidR="00E35F08">
        <w:rPr>
          <w:rStyle w:val="FootnoteReference"/>
          <w:rFonts w:ascii="Verdana" w:hAnsi="Verdana"/>
          <w:i/>
          <w:sz w:val="20"/>
          <w:szCs w:val="20"/>
        </w:rPr>
        <w:footnoteReference w:id="1"/>
      </w:r>
      <w:r w:rsidR="00F1420C">
        <w:rPr>
          <w:rFonts w:ascii="Verdana" w:hAnsi="Verdana"/>
          <w:sz w:val="20"/>
          <w:szCs w:val="20"/>
        </w:rPr>
        <w:t xml:space="preserve"> </w:t>
      </w:r>
      <w:r w:rsidR="00575C96">
        <w:rPr>
          <w:rFonts w:ascii="Verdana" w:hAnsi="Verdana"/>
          <w:sz w:val="20"/>
          <w:szCs w:val="20"/>
        </w:rPr>
        <w:t>and</w:t>
      </w:r>
      <w:r w:rsidR="00F1420C">
        <w:rPr>
          <w:rFonts w:ascii="Verdana" w:hAnsi="Verdana"/>
          <w:sz w:val="20"/>
          <w:szCs w:val="20"/>
        </w:rPr>
        <w:t xml:space="preserve"> 22G.080,</w:t>
      </w:r>
      <w:r w:rsidR="00575C96">
        <w:rPr>
          <w:rFonts w:ascii="Verdana" w:hAnsi="Verdana"/>
          <w:sz w:val="20"/>
          <w:szCs w:val="20"/>
        </w:rPr>
        <w:t xml:space="preserve"> </w:t>
      </w:r>
      <w:r w:rsidR="00575C96" w:rsidRPr="00F1420C">
        <w:rPr>
          <w:rFonts w:ascii="Verdana" w:hAnsi="Verdana"/>
          <w:i/>
          <w:sz w:val="20"/>
          <w:szCs w:val="20"/>
        </w:rPr>
        <w:t>Planned Residential Development</w:t>
      </w:r>
      <w:r w:rsidR="00F1420C" w:rsidRPr="00F1420C">
        <w:rPr>
          <w:rFonts w:ascii="Verdana" w:hAnsi="Verdana"/>
          <w:i/>
          <w:sz w:val="20"/>
          <w:szCs w:val="20"/>
        </w:rPr>
        <w:t>s</w:t>
      </w:r>
      <w:r w:rsidR="00E35F08">
        <w:rPr>
          <w:rStyle w:val="FootnoteReference"/>
          <w:rFonts w:ascii="Verdana" w:hAnsi="Verdana"/>
          <w:i/>
          <w:sz w:val="20"/>
          <w:szCs w:val="20"/>
        </w:rPr>
        <w:footnoteReference w:id="2"/>
      </w:r>
      <w:r w:rsidR="00F1420C">
        <w:rPr>
          <w:rFonts w:ascii="Verdana" w:hAnsi="Verdana"/>
          <w:sz w:val="20"/>
          <w:szCs w:val="20"/>
        </w:rPr>
        <w:t xml:space="preserve">. </w:t>
      </w:r>
      <w:r w:rsidR="00EB65F7">
        <w:rPr>
          <w:rFonts w:ascii="Verdana" w:hAnsi="Verdana"/>
          <w:sz w:val="20"/>
          <w:szCs w:val="20"/>
        </w:rPr>
        <w:t xml:space="preserve">Staff and </w:t>
      </w:r>
      <w:r w:rsidR="00CB5DA5">
        <w:rPr>
          <w:rFonts w:ascii="Verdana" w:hAnsi="Verdana"/>
          <w:sz w:val="20"/>
          <w:szCs w:val="20"/>
        </w:rPr>
        <w:t xml:space="preserve">applicants </w:t>
      </w:r>
      <w:r w:rsidR="00EB65F7">
        <w:rPr>
          <w:rFonts w:ascii="Verdana" w:hAnsi="Verdana"/>
          <w:sz w:val="20"/>
          <w:szCs w:val="20"/>
        </w:rPr>
        <w:t xml:space="preserve">have expressed concern regarding some of the standards in </w:t>
      </w:r>
      <w:r w:rsidR="009331BB">
        <w:rPr>
          <w:rFonts w:ascii="Verdana" w:hAnsi="Verdana"/>
          <w:sz w:val="20"/>
          <w:szCs w:val="20"/>
        </w:rPr>
        <w:t>these</w:t>
      </w:r>
      <w:r w:rsidR="00E35F08">
        <w:rPr>
          <w:rFonts w:ascii="Verdana" w:hAnsi="Verdana"/>
          <w:sz w:val="20"/>
          <w:szCs w:val="20"/>
        </w:rPr>
        <w:t xml:space="preserve"> codes being </w:t>
      </w:r>
      <w:r w:rsidR="00EB65F7">
        <w:rPr>
          <w:rFonts w:ascii="Verdana" w:hAnsi="Verdana"/>
          <w:sz w:val="20"/>
          <w:szCs w:val="20"/>
        </w:rPr>
        <w:t>unclear or vague</w:t>
      </w:r>
      <w:r w:rsidR="00922DFA">
        <w:rPr>
          <w:rFonts w:ascii="Verdana" w:hAnsi="Verdana"/>
          <w:sz w:val="20"/>
          <w:szCs w:val="20"/>
        </w:rPr>
        <w:t xml:space="preserve"> which has</w:t>
      </w:r>
      <w:r w:rsidR="00E35F08">
        <w:rPr>
          <w:rFonts w:ascii="Verdana" w:hAnsi="Verdana"/>
          <w:sz w:val="20"/>
          <w:szCs w:val="20"/>
        </w:rPr>
        <w:t xml:space="preserve"> resulted</w:t>
      </w:r>
      <w:r w:rsidR="00EB65F7">
        <w:rPr>
          <w:rFonts w:ascii="Verdana" w:hAnsi="Verdana"/>
          <w:sz w:val="20"/>
          <w:szCs w:val="20"/>
        </w:rPr>
        <w:t xml:space="preserve"> in confusion about what the expectations are and incons</w:t>
      </w:r>
      <w:r w:rsidR="009331BB">
        <w:rPr>
          <w:rFonts w:ascii="Verdana" w:hAnsi="Verdana"/>
          <w:sz w:val="20"/>
          <w:szCs w:val="20"/>
        </w:rPr>
        <w:t xml:space="preserve">istent application of the code. </w:t>
      </w:r>
      <w:r w:rsidR="00EB65F7">
        <w:rPr>
          <w:rFonts w:ascii="Verdana" w:hAnsi="Verdana"/>
          <w:sz w:val="20"/>
          <w:szCs w:val="20"/>
        </w:rPr>
        <w:t xml:space="preserve">The specific aspects of the code that are of concern have been discussed, and the following amendments are proposed to clarify expectations and promote more consistent application </w:t>
      </w:r>
      <w:r w:rsidR="009331BB">
        <w:rPr>
          <w:rFonts w:ascii="Verdana" w:hAnsi="Verdana"/>
          <w:sz w:val="20"/>
          <w:szCs w:val="20"/>
        </w:rPr>
        <w:t>of the code:</w:t>
      </w:r>
    </w:p>
    <w:p w14:paraId="3073DCD9" w14:textId="41761B34" w:rsidR="00F603DA" w:rsidRPr="00684E8D" w:rsidRDefault="00F603DA"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22A, </w:t>
      </w:r>
      <w:r w:rsidRPr="00684E8D">
        <w:rPr>
          <w:rFonts w:ascii="Verdana" w:hAnsi="Verdana"/>
          <w:b/>
          <w:i/>
          <w:sz w:val="20"/>
          <w:szCs w:val="20"/>
        </w:rPr>
        <w:t>Definitions</w:t>
      </w:r>
      <w:r w:rsidR="00131B1F" w:rsidRPr="00684E8D">
        <w:rPr>
          <w:rFonts w:ascii="Verdana" w:hAnsi="Verdana"/>
          <w:b/>
          <w:i/>
          <w:sz w:val="20"/>
          <w:szCs w:val="20"/>
        </w:rPr>
        <w:t>.</w:t>
      </w:r>
      <w:r w:rsidRPr="00684E8D">
        <w:rPr>
          <w:rFonts w:ascii="Verdana" w:hAnsi="Verdana"/>
          <w:b/>
          <w:sz w:val="20"/>
          <w:szCs w:val="20"/>
        </w:rPr>
        <w:t xml:space="preserve"> </w:t>
      </w:r>
    </w:p>
    <w:p w14:paraId="0EEAEE4A" w14:textId="23F4010B" w:rsidR="00EB65F7" w:rsidRPr="00453191" w:rsidRDefault="00EB65F7" w:rsidP="00ED679A">
      <w:pPr>
        <w:pStyle w:val="ListParagraph"/>
        <w:numPr>
          <w:ilvl w:val="0"/>
          <w:numId w:val="15"/>
        </w:numPr>
        <w:spacing w:after="120" w:line="240" w:lineRule="auto"/>
        <w:ind w:left="360" w:right="360"/>
        <w:jc w:val="both"/>
        <w:rPr>
          <w:rFonts w:ascii="Verdana" w:hAnsi="Verdana"/>
          <w:sz w:val="20"/>
          <w:szCs w:val="20"/>
        </w:rPr>
      </w:pPr>
      <w:r w:rsidRPr="00453191">
        <w:rPr>
          <w:rFonts w:ascii="Verdana" w:hAnsi="Verdana"/>
          <w:sz w:val="20"/>
          <w:szCs w:val="20"/>
        </w:rPr>
        <w:t xml:space="preserve">MMC Section 22A.020.160 </w:t>
      </w:r>
      <w:r w:rsidRPr="00453191">
        <w:rPr>
          <w:rFonts w:ascii="Verdana" w:hAnsi="Verdana"/>
          <w:i/>
          <w:sz w:val="20"/>
          <w:szCs w:val="20"/>
        </w:rPr>
        <w:t>“O” definitions</w:t>
      </w:r>
      <w:r w:rsidRPr="00453191">
        <w:rPr>
          <w:rFonts w:ascii="Verdana" w:hAnsi="Verdana"/>
          <w:sz w:val="20"/>
          <w:szCs w:val="20"/>
        </w:rPr>
        <w:t xml:space="preserve">. The terms ‘open space, active’ and ‘open space, passive’ are used in the </w:t>
      </w:r>
      <w:r w:rsidR="00277673" w:rsidRPr="00453191">
        <w:rPr>
          <w:rFonts w:ascii="Verdana" w:hAnsi="Verdana"/>
          <w:sz w:val="20"/>
          <w:szCs w:val="20"/>
        </w:rPr>
        <w:t xml:space="preserve">PRD code but are not defined. </w:t>
      </w:r>
    </w:p>
    <w:p w14:paraId="398B34B7" w14:textId="29224C9A" w:rsidR="00277673" w:rsidRPr="00684E8D" w:rsidRDefault="00131B1F"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22C.090, </w:t>
      </w:r>
      <w:r w:rsidRPr="00684E8D">
        <w:rPr>
          <w:rFonts w:ascii="Verdana" w:hAnsi="Verdana"/>
          <w:b/>
          <w:i/>
          <w:sz w:val="20"/>
          <w:szCs w:val="20"/>
        </w:rPr>
        <w:t>Residential Density Incentives</w:t>
      </w:r>
      <w:r w:rsidRPr="00684E8D">
        <w:rPr>
          <w:rFonts w:ascii="Verdana" w:hAnsi="Verdana"/>
          <w:b/>
          <w:sz w:val="20"/>
          <w:szCs w:val="20"/>
        </w:rPr>
        <w:t xml:space="preserve">. </w:t>
      </w:r>
    </w:p>
    <w:p w14:paraId="1A7319BE" w14:textId="11E1FC53" w:rsidR="00131B1F" w:rsidRDefault="00B00175" w:rsidP="00ED679A">
      <w:pPr>
        <w:pStyle w:val="ListParagraph"/>
        <w:numPr>
          <w:ilvl w:val="0"/>
          <w:numId w:val="13"/>
        </w:numPr>
        <w:spacing w:after="120" w:line="240" w:lineRule="auto"/>
        <w:ind w:left="360" w:right="360"/>
        <w:contextualSpacing w:val="0"/>
        <w:jc w:val="both"/>
        <w:rPr>
          <w:rFonts w:ascii="Verdana" w:hAnsi="Verdana"/>
          <w:sz w:val="20"/>
          <w:szCs w:val="20"/>
        </w:rPr>
      </w:pPr>
      <w:r>
        <w:rPr>
          <w:rFonts w:ascii="Verdana" w:hAnsi="Verdana"/>
          <w:sz w:val="20"/>
          <w:szCs w:val="20"/>
        </w:rPr>
        <w:t xml:space="preserve">MMC Section 22C.090.040, </w:t>
      </w:r>
      <w:r w:rsidRPr="00B00175">
        <w:rPr>
          <w:rFonts w:ascii="Verdana" w:hAnsi="Verdana"/>
          <w:i/>
          <w:sz w:val="20"/>
          <w:szCs w:val="20"/>
        </w:rPr>
        <w:t>Density bonus recreation features</w:t>
      </w:r>
      <w:r>
        <w:rPr>
          <w:rFonts w:ascii="Verdana" w:hAnsi="Verdana"/>
          <w:sz w:val="20"/>
          <w:szCs w:val="20"/>
        </w:rPr>
        <w:t>, outlines how recreational area can qualify as bonus units. Specific revisions include</w:t>
      </w:r>
      <w:r w:rsidR="00453191">
        <w:rPr>
          <w:rFonts w:ascii="Verdana" w:hAnsi="Verdana"/>
          <w:sz w:val="20"/>
          <w:szCs w:val="20"/>
        </w:rPr>
        <w:t xml:space="preserve"> clarifying</w:t>
      </w:r>
      <w:r>
        <w:rPr>
          <w:rFonts w:ascii="Verdana" w:hAnsi="Verdana"/>
          <w:sz w:val="20"/>
          <w:szCs w:val="20"/>
        </w:rPr>
        <w:t xml:space="preserve">: </w:t>
      </w:r>
    </w:p>
    <w:p w14:paraId="37EE17C1" w14:textId="3909A7A3" w:rsidR="00B00175"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That either</w:t>
      </w:r>
      <w:r w:rsidR="007471B7">
        <w:rPr>
          <w:rFonts w:ascii="Verdana" w:hAnsi="Verdana"/>
          <w:sz w:val="20"/>
          <w:szCs w:val="20"/>
        </w:rPr>
        <w:t xml:space="preserve"> additional area (i.e. acreage or square feet) or amenities can be provided in excess of the standard code requirements to earn bonus units; </w:t>
      </w:r>
    </w:p>
    <w:p w14:paraId="724550F9" w14:textId="4F58A94D" w:rsidR="007471B7"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lastRenderedPageBreak/>
        <w:t>That</w:t>
      </w:r>
      <w:r w:rsidR="007471B7">
        <w:rPr>
          <w:rFonts w:ascii="Verdana" w:hAnsi="Verdana"/>
          <w:sz w:val="20"/>
          <w:szCs w:val="20"/>
        </w:rPr>
        <w:t xml:space="preserve"> the applicant must delineate which areas or amenities are proposed to satisfy the standard code requirements and which are proposed to earn bonus units; </w:t>
      </w:r>
    </w:p>
    <w:p w14:paraId="2785FBD8" w14:textId="5FD3D4B0" w:rsidR="00554963"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What</w:t>
      </w:r>
      <w:r w:rsidR="0036004A">
        <w:rPr>
          <w:rFonts w:ascii="Verdana" w:hAnsi="Verdana"/>
          <w:sz w:val="20"/>
          <w:szCs w:val="20"/>
        </w:rPr>
        <w:t xml:space="preserve"> recreational amenities may be proposed to earn bonus units, and </w:t>
      </w:r>
      <w:r>
        <w:rPr>
          <w:rFonts w:ascii="Verdana" w:hAnsi="Verdana"/>
          <w:sz w:val="20"/>
          <w:szCs w:val="20"/>
        </w:rPr>
        <w:t>what</w:t>
      </w:r>
      <w:r w:rsidR="0036004A">
        <w:rPr>
          <w:rFonts w:ascii="Verdana" w:hAnsi="Verdana"/>
          <w:sz w:val="20"/>
          <w:szCs w:val="20"/>
        </w:rPr>
        <w:t xml:space="preserve"> amenities passive recreation areas must feature; </w:t>
      </w:r>
      <w:r w:rsidR="00F541FC">
        <w:rPr>
          <w:rFonts w:ascii="Verdana" w:hAnsi="Verdana"/>
          <w:sz w:val="20"/>
          <w:szCs w:val="20"/>
        </w:rPr>
        <w:t xml:space="preserve">and </w:t>
      </w:r>
    </w:p>
    <w:p w14:paraId="32912ED7" w14:textId="3A4349F7" w:rsidR="0036004A" w:rsidRDefault="00453191"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 xml:space="preserve">The </w:t>
      </w:r>
      <w:r w:rsidR="0036004A">
        <w:rPr>
          <w:rFonts w:ascii="Verdana" w:hAnsi="Verdana"/>
          <w:sz w:val="20"/>
          <w:szCs w:val="20"/>
        </w:rPr>
        <w:t>expectations for dual use recreation and storm water retention/detention areas including that</w:t>
      </w:r>
      <w:r>
        <w:rPr>
          <w:rFonts w:ascii="Verdana" w:hAnsi="Verdana"/>
          <w:sz w:val="20"/>
          <w:szCs w:val="20"/>
        </w:rPr>
        <w:t xml:space="preserve"> </w:t>
      </w:r>
      <w:r w:rsidR="0036004A">
        <w:rPr>
          <w:rFonts w:ascii="Verdana" w:hAnsi="Verdana"/>
          <w:sz w:val="20"/>
          <w:szCs w:val="20"/>
        </w:rPr>
        <w:t xml:space="preserve">accesses into the tract must serve as both an access and amenity (e.g. </w:t>
      </w:r>
      <w:proofErr w:type="spellStart"/>
      <w:r w:rsidR="0036004A">
        <w:rPr>
          <w:rFonts w:ascii="Verdana" w:hAnsi="Verdana"/>
          <w:sz w:val="20"/>
          <w:szCs w:val="20"/>
        </w:rPr>
        <w:t>grasscrete</w:t>
      </w:r>
      <w:proofErr w:type="spellEnd"/>
      <w:r w:rsidR="0036004A">
        <w:rPr>
          <w:rFonts w:ascii="Verdana" w:hAnsi="Verdana"/>
          <w:sz w:val="20"/>
          <w:szCs w:val="20"/>
        </w:rPr>
        <w:t>, decorative pavers, basketball court, etc.) to contribute to earning bonus units</w:t>
      </w:r>
      <w:r>
        <w:rPr>
          <w:rFonts w:ascii="Verdana" w:hAnsi="Verdana"/>
          <w:sz w:val="20"/>
          <w:szCs w:val="20"/>
        </w:rPr>
        <w:t xml:space="preserve">. Obsolete language will also be omitted. </w:t>
      </w:r>
    </w:p>
    <w:p w14:paraId="0CE76AD2" w14:textId="4CF91B44" w:rsidR="001E29F3" w:rsidRDefault="00775B58" w:rsidP="00ED679A">
      <w:pPr>
        <w:pStyle w:val="ListParagraph"/>
        <w:numPr>
          <w:ilvl w:val="0"/>
          <w:numId w:val="13"/>
        </w:numPr>
        <w:spacing w:after="120" w:line="240" w:lineRule="auto"/>
        <w:ind w:left="360" w:right="360"/>
        <w:contextualSpacing w:val="0"/>
        <w:jc w:val="both"/>
        <w:rPr>
          <w:rFonts w:ascii="Verdana" w:hAnsi="Verdana"/>
          <w:sz w:val="20"/>
          <w:szCs w:val="20"/>
        </w:rPr>
      </w:pPr>
      <w:r w:rsidRPr="00775B58">
        <w:rPr>
          <w:rFonts w:ascii="Verdana" w:hAnsi="Verdana"/>
          <w:sz w:val="20"/>
          <w:szCs w:val="20"/>
        </w:rPr>
        <w:t xml:space="preserve">MMC Section 22C.090.060, </w:t>
      </w:r>
      <w:r w:rsidRPr="00B67E01">
        <w:rPr>
          <w:rFonts w:ascii="Verdana" w:hAnsi="Verdana"/>
          <w:i/>
          <w:sz w:val="20"/>
          <w:szCs w:val="20"/>
        </w:rPr>
        <w:t>Review process</w:t>
      </w:r>
      <w:r w:rsidR="00B67E01">
        <w:rPr>
          <w:rFonts w:ascii="Verdana" w:hAnsi="Verdana"/>
          <w:sz w:val="20"/>
          <w:szCs w:val="20"/>
        </w:rPr>
        <w:t xml:space="preserve">, outlines the review process for residential density incentives. </w:t>
      </w:r>
      <w:r w:rsidR="00ED3BE1">
        <w:rPr>
          <w:rFonts w:ascii="Verdana" w:hAnsi="Verdana"/>
          <w:sz w:val="20"/>
          <w:szCs w:val="20"/>
        </w:rPr>
        <w:t>Specific revisions include</w:t>
      </w:r>
      <w:r w:rsidR="00AB1CAC">
        <w:rPr>
          <w:rFonts w:ascii="Verdana" w:hAnsi="Verdana"/>
          <w:sz w:val="20"/>
          <w:szCs w:val="20"/>
        </w:rPr>
        <w:t xml:space="preserve"> amending: </w:t>
      </w:r>
      <w:r w:rsidR="00ED3BE1">
        <w:rPr>
          <w:rFonts w:ascii="Verdana" w:hAnsi="Verdana"/>
          <w:sz w:val="20"/>
          <w:szCs w:val="20"/>
        </w:rPr>
        <w:t xml:space="preserve"> </w:t>
      </w:r>
    </w:p>
    <w:p w14:paraId="219FD8C0" w14:textId="58A7A638" w:rsidR="00ED3BE1" w:rsidRDefault="00AB1CAC" w:rsidP="00ED679A">
      <w:pPr>
        <w:pStyle w:val="ListParagraph"/>
        <w:numPr>
          <w:ilvl w:val="1"/>
          <w:numId w:val="13"/>
        </w:numPr>
        <w:spacing w:after="120" w:line="240" w:lineRule="auto"/>
        <w:ind w:left="720" w:right="720"/>
        <w:contextualSpacing w:val="0"/>
        <w:jc w:val="both"/>
        <w:rPr>
          <w:rFonts w:ascii="Verdana" w:hAnsi="Verdana"/>
          <w:sz w:val="20"/>
          <w:szCs w:val="20"/>
        </w:rPr>
      </w:pPr>
      <w:r>
        <w:rPr>
          <w:rFonts w:ascii="Verdana" w:hAnsi="Verdana"/>
          <w:sz w:val="20"/>
          <w:szCs w:val="20"/>
        </w:rPr>
        <w:t>Va</w:t>
      </w:r>
      <w:r w:rsidR="00F541FC">
        <w:rPr>
          <w:rFonts w:ascii="Verdana" w:hAnsi="Verdana"/>
          <w:sz w:val="20"/>
          <w:szCs w:val="20"/>
        </w:rPr>
        <w:t>gue language such as ‘primary proposal’ and ‘reviewing authority’</w:t>
      </w:r>
      <w:r w:rsidR="00372143">
        <w:rPr>
          <w:rFonts w:ascii="Verdana" w:hAnsi="Verdana"/>
          <w:sz w:val="20"/>
          <w:szCs w:val="20"/>
        </w:rPr>
        <w:t xml:space="preserve"> to specific language such as </w:t>
      </w:r>
      <w:r w:rsidR="00F541FC">
        <w:rPr>
          <w:rFonts w:ascii="Verdana" w:hAnsi="Verdana"/>
          <w:sz w:val="20"/>
          <w:szCs w:val="20"/>
        </w:rPr>
        <w:t xml:space="preserve">‘underlying land use project’ and either ‘hearing examiner’ or ‘community development director’; </w:t>
      </w:r>
      <w:r w:rsidR="00B1558A">
        <w:rPr>
          <w:rFonts w:ascii="Verdana" w:hAnsi="Verdana"/>
          <w:sz w:val="20"/>
          <w:szCs w:val="20"/>
        </w:rPr>
        <w:t xml:space="preserve">and </w:t>
      </w:r>
    </w:p>
    <w:p w14:paraId="1ADFA9A4" w14:textId="70D57F45" w:rsidR="00372143" w:rsidRPr="00B1558A" w:rsidRDefault="00AB1CAC" w:rsidP="00ED679A">
      <w:pPr>
        <w:pStyle w:val="ListParagraph"/>
        <w:numPr>
          <w:ilvl w:val="1"/>
          <w:numId w:val="13"/>
        </w:numPr>
        <w:spacing w:after="120" w:line="240" w:lineRule="auto"/>
        <w:ind w:left="720" w:right="720"/>
        <w:jc w:val="both"/>
        <w:rPr>
          <w:rFonts w:ascii="Verdana" w:hAnsi="Verdana"/>
          <w:sz w:val="20"/>
          <w:szCs w:val="20"/>
        </w:rPr>
      </w:pPr>
      <w:r>
        <w:rPr>
          <w:rFonts w:ascii="Verdana" w:hAnsi="Verdana"/>
          <w:sz w:val="20"/>
          <w:szCs w:val="20"/>
        </w:rPr>
        <w:t>The</w:t>
      </w:r>
      <w:r w:rsidR="00372143">
        <w:rPr>
          <w:rFonts w:ascii="Verdana" w:hAnsi="Verdana"/>
          <w:sz w:val="20"/>
          <w:szCs w:val="20"/>
        </w:rPr>
        <w:t xml:space="preserve"> direction </w:t>
      </w:r>
      <w:r>
        <w:rPr>
          <w:rFonts w:ascii="Verdana" w:hAnsi="Verdana"/>
          <w:sz w:val="20"/>
          <w:szCs w:val="20"/>
        </w:rPr>
        <w:t xml:space="preserve">provided </w:t>
      </w:r>
      <w:r w:rsidR="00B1558A">
        <w:rPr>
          <w:rFonts w:ascii="Verdana" w:hAnsi="Verdana"/>
          <w:sz w:val="20"/>
          <w:szCs w:val="20"/>
        </w:rPr>
        <w:t>to be more concise, and to indicate that the</w:t>
      </w:r>
      <w:r w:rsidR="00372143" w:rsidRPr="00B1558A">
        <w:rPr>
          <w:rFonts w:ascii="Verdana" w:hAnsi="Verdana"/>
          <w:sz w:val="20"/>
          <w:szCs w:val="20"/>
        </w:rPr>
        <w:t xml:space="preserve"> RDI may be administratively approved after the land use decision is issued </w:t>
      </w:r>
      <w:r w:rsidR="00B1558A">
        <w:rPr>
          <w:rFonts w:ascii="Verdana" w:hAnsi="Verdana"/>
          <w:sz w:val="20"/>
          <w:szCs w:val="20"/>
        </w:rPr>
        <w:t>(</w:t>
      </w:r>
      <w:r w:rsidR="00372143" w:rsidRPr="00B1558A">
        <w:rPr>
          <w:rFonts w:ascii="Verdana" w:hAnsi="Verdana"/>
          <w:sz w:val="20"/>
          <w:szCs w:val="20"/>
        </w:rPr>
        <w:t>as this frequently occurs with projects</w:t>
      </w:r>
      <w:r w:rsidR="00B1558A">
        <w:rPr>
          <w:rFonts w:ascii="Verdana" w:hAnsi="Verdana"/>
          <w:sz w:val="20"/>
          <w:szCs w:val="20"/>
        </w:rPr>
        <w:t>)</w:t>
      </w:r>
      <w:r w:rsidR="00372143" w:rsidRPr="00B1558A">
        <w:rPr>
          <w:rFonts w:ascii="Verdana" w:hAnsi="Verdana"/>
          <w:sz w:val="20"/>
          <w:szCs w:val="20"/>
        </w:rPr>
        <w:t xml:space="preserve">. </w:t>
      </w:r>
    </w:p>
    <w:p w14:paraId="68388BAF" w14:textId="598BFBC6" w:rsidR="00277673" w:rsidRPr="00684E8D" w:rsidRDefault="00951CC7" w:rsidP="00ED679A">
      <w:pPr>
        <w:spacing w:before="200" w:after="120" w:line="240" w:lineRule="auto"/>
        <w:ind w:right="720"/>
        <w:jc w:val="both"/>
        <w:rPr>
          <w:rFonts w:ascii="Verdana" w:hAnsi="Verdana"/>
          <w:b/>
          <w:sz w:val="20"/>
          <w:szCs w:val="20"/>
        </w:rPr>
      </w:pPr>
      <w:r w:rsidRPr="00684E8D">
        <w:rPr>
          <w:rFonts w:ascii="Verdana" w:hAnsi="Verdana"/>
          <w:b/>
          <w:sz w:val="20"/>
          <w:szCs w:val="20"/>
        </w:rPr>
        <w:t xml:space="preserve">Chapter 22G.080, </w:t>
      </w:r>
      <w:r w:rsidRPr="00684E8D">
        <w:rPr>
          <w:rFonts w:ascii="Verdana" w:hAnsi="Verdana"/>
          <w:b/>
          <w:i/>
          <w:sz w:val="20"/>
          <w:szCs w:val="20"/>
        </w:rPr>
        <w:t>Planned Residential Developments</w:t>
      </w:r>
      <w:r w:rsidRPr="00684E8D">
        <w:rPr>
          <w:rFonts w:ascii="Verdana" w:hAnsi="Verdana"/>
          <w:b/>
          <w:sz w:val="20"/>
          <w:szCs w:val="20"/>
        </w:rPr>
        <w:t>.</w:t>
      </w:r>
    </w:p>
    <w:p w14:paraId="6A46C926" w14:textId="4168357C" w:rsidR="00951CC7" w:rsidRDefault="0092568C" w:rsidP="00ED679A">
      <w:pPr>
        <w:pStyle w:val="ListParagraph"/>
        <w:numPr>
          <w:ilvl w:val="0"/>
          <w:numId w:val="14"/>
        </w:numPr>
        <w:spacing w:after="120" w:line="240" w:lineRule="auto"/>
        <w:ind w:left="360" w:right="360"/>
        <w:contextualSpacing w:val="0"/>
        <w:jc w:val="both"/>
        <w:rPr>
          <w:rFonts w:ascii="Verdana" w:hAnsi="Verdana"/>
          <w:sz w:val="20"/>
          <w:szCs w:val="20"/>
        </w:rPr>
      </w:pPr>
      <w:r>
        <w:rPr>
          <w:rFonts w:ascii="Verdana" w:hAnsi="Verdana"/>
          <w:sz w:val="20"/>
          <w:szCs w:val="20"/>
        </w:rPr>
        <w:t>MMC Section 22G.080.100, Open spaces, outlines the open space requirements for Planned Residential Developments. Specific revisions include</w:t>
      </w:r>
      <w:r w:rsidR="005D33D3">
        <w:rPr>
          <w:rFonts w:ascii="Verdana" w:hAnsi="Verdana"/>
          <w:sz w:val="20"/>
          <w:szCs w:val="20"/>
        </w:rPr>
        <w:t xml:space="preserve"> clarifying:</w:t>
      </w:r>
    </w:p>
    <w:p w14:paraId="79F1C952" w14:textId="3F9BEE87" w:rsidR="0092568C"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That the</w:t>
      </w:r>
      <w:r w:rsidR="0015227B">
        <w:rPr>
          <w:rFonts w:ascii="Verdana" w:hAnsi="Verdana"/>
          <w:sz w:val="20"/>
          <w:szCs w:val="20"/>
        </w:rPr>
        <w:t xml:space="preserve"> same net project area used for determining density for the overall project must be used for deter</w:t>
      </w:r>
      <w:r>
        <w:rPr>
          <w:rFonts w:ascii="Verdana" w:hAnsi="Verdana"/>
          <w:sz w:val="20"/>
          <w:szCs w:val="20"/>
        </w:rPr>
        <w:t xml:space="preserve">mining the required open space. Certain projects have proposed using the density which maximizes density and minimizes open space; this amendment makes the expectation clear; </w:t>
      </w:r>
    </w:p>
    <w:p w14:paraId="78DC3CE4" w14:textId="42FD7A60" w:rsidR="005D33D3"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How the open space area should be calculated, and allowing for accesses into dual use recreation and storm water retention/detention areas to contribute towards open space if the access serves as both an access and amenity (e.g. </w:t>
      </w:r>
      <w:proofErr w:type="spellStart"/>
      <w:r>
        <w:rPr>
          <w:rFonts w:ascii="Verdana" w:hAnsi="Verdana"/>
          <w:sz w:val="20"/>
          <w:szCs w:val="20"/>
        </w:rPr>
        <w:t>grasscrete</w:t>
      </w:r>
      <w:proofErr w:type="spellEnd"/>
      <w:r>
        <w:rPr>
          <w:rFonts w:ascii="Verdana" w:hAnsi="Verdana"/>
          <w:sz w:val="20"/>
          <w:szCs w:val="20"/>
        </w:rPr>
        <w:t xml:space="preserve">, decorative pavers, basketball court, etc.); </w:t>
      </w:r>
    </w:p>
    <w:p w14:paraId="791DB146" w14:textId="6B5B23BA" w:rsidR="005D33D3" w:rsidRDefault="005D33D3"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Which part of the perimeter landscaping can contribute to required open space; </w:t>
      </w:r>
    </w:p>
    <w:p w14:paraId="2E0AF463" w14:textId="481B25FC" w:rsidR="005D33D3"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Where the open space should be located; </w:t>
      </w:r>
    </w:p>
    <w:p w14:paraId="548D2038" w14:textId="4CF77534" w:rsidR="009B5E38"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That an exception should be allowed to the all-weather surface requirements for pathways that are unable to comply with Americans with Disabilities Act (ADA) requirements due to topography constraints; </w:t>
      </w:r>
    </w:p>
    <w:p w14:paraId="4C5827AD" w14:textId="5177A470" w:rsidR="009B5E38" w:rsidRDefault="009B5E38" w:rsidP="00ED679A">
      <w:pPr>
        <w:pStyle w:val="ListParagraph"/>
        <w:numPr>
          <w:ilvl w:val="1"/>
          <w:numId w:val="14"/>
        </w:numPr>
        <w:spacing w:after="120" w:line="240" w:lineRule="auto"/>
        <w:ind w:left="720" w:right="720"/>
        <w:contextualSpacing w:val="0"/>
        <w:jc w:val="both"/>
        <w:rPr>
          <w:rFonts w:ascii="Verdana" w:hAnsi="Verdana"/>
          <w:sz w:val="20"/>
          <w:szCs w:val="20"/>
        </w:rPr>
      </w:pPr>
      <w:r>
        <w:rPr>
          <w:rFonts w:ascii="Verdana" w:hAnsi="Verdana"/>
          <w:sz w:val="20"/>
          <w:szCs w:val="20"/>
        </w:rPr>
        <w:t xml:space="preserve">What qualifies as small and large recreational amenities, how the amenities should be calculated, that at least one active amenity is needed, that tot lots require soft surfacing and a bench, etc.; and </w:t>
      </w:r>
    </w:p>
    <w:p w14:paraId="0CCC0E9B" w14:textId="4A0540C6" w:rsidR="00277673" w:rsidRPr="00650804" w:rsidRDefault="009B5E38" w:rsidP="00ED679A">
      <w:pPr>
        <w:pStyle w:val="ListParagraph"/>
        <w:numPr>
          <w:ilvl w:val="1"/>
          <w:numId w:val="14"/>
        </w:numPr>
        <w:spacing w:after="120" w:line="240" w:lineRule="auto"/>
        <w:ind w:left="720" w:right="720"/>
        <w:jc w:val="both"/>
        <w:rPr>
          <w:rFonts w:ascii="Verdana" w:hAnsi="Verdana"/>
          <w:sz w:val="20"/>
          <w:szCs w:val="20"/>
        </w:rPr>
      </w:pPr>
      <w:r w:rsidRPr="009B5E38">
        <w:rPr>
          <w:rFonts w:ascii="Verdana" w:hAnsi="Verdana"/>
          <w:sz w:val="20"/>
          <w:szCs w:val="20"/>
        </w:rPr>
        <w:t xml:space="preserve">Expectations for dual use recreation and storm water retention/detention areas including that: accesses into the tract must serve as both an access and amenity (e.g. </w:t>
      </w:r>
      <w:proofErr w:type="spellStart"/>
      <w:r w:rsidRPr="009B5E38">
        <w:rPr>
          <w:rFonts w:ascii="Verdana" w:hAnsi="Verdana"/>
          <w:sz w:val="20"/>
          <w:szCs w:val="20"/>
        </w:rPr>
        <w:t>grasscrete</w:t>
      </w:r>
      <w:proofErr w:type="spellEnd"/>
      <w:r w:rsidRPr="009B5E38">
        <w:rPr>
          <w:rFonts w:ascii="Verdana" w:hAnsi="Verdana"/>
          <w:sz w:val="20"/>
          <w:szCs w:val="20"/>
        </w:rPr>
        <w:t xml:space="preserve">, decorative </w:t>
      </w:r>
      <w:r w:rsidRPr="00650804">
        <w:rPr>
          <w:rFonts w:ascii="Verdana" w:hAnsi="Verdana"/>
          <w:sz w:val="20"/>
          <w:szCs w:val="20"/>
        </w:rPr>
        <w:t xml:space="preserve">pavers, basketball court, etc.) to contribute to required open space. </w:t>
      </w:r>
    </w:p>
    <w:p w14:paraId="376613EC" w14:textId="4DD734EA" w:rsidR="00C10E33" w:rsidRPr="0072699E" w:rsidRDefault="007C1098" w:rsidP="00A560E4">
      <w:pPr>
        <w:spacing w:after="120" w:line="240" w:lineRule="auto"/>
        <w:jc w:val="both"/>
        <w:rPr>
          <w:rFonts w:ascii="Verdana" w:hAnsi="Verdana"/>
          <w:sz w:val="20"/>
          <w:szCs w:val="20"/>
        </w:rPr>
      </w:pPr>
      <w:r>
        <w:rPr>
          <w:rFonts w:ascii="Verdana" w:hAnsi="Verdana"/>
          <w:sz w:val="20"/>
          <w:szCs w:val="20"/>
        </w:rPr>
        <w:t>Staff respectfully recommends that the City Council affirm the recommendation of the Planning Commission, and adopt the proposed</w:t>
      </w:r>
      <w:r w:rsidR="00091B56">
        <w:rPr>
          <w:rFonts w:ascii="Verdana" w:hAnsi="Verdana"/>
          <w:sz w:val="20"/>
          <w:szCs w:val="20"/>
        </w:rPr>
        <w:t xml:space="preserve"> Planned Residential Development (PRD) open space and Residential Density Incentives (RDI) </w:t>
      </w:r>
      <w:r>
        <w:rPr>
          <w:rFonts w:ascii="Verdana" w:hAnsi="Verdana"/>
          <w:sz w:val="20"/>
          <w:szCs w:val="20"/>
        </w:rPr>
        <w:t xml:space="preserve">amendments by Ordinance.  </w:t>
      </w:r>
      <w:bookmarkStart w:id="0" w:name="_GoBack"/>
      <w:bookmarkEnd w:id="0"/>
    </w:p>
    <w:sectPr w:rsidR="00C10E33" w:rsidRPr="0072699E" w:rsidSect="002B4F5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7BFB3" w14:textId="77777777" w:rsidR="0086491C" w:rsidRDefault="0086491C" w:rsidP="008B48F1">
      <w:pPr>
        <w:spacing w:after="0" w:line="240" w:lineRule="auto"/>
      </w:pPr>
      <w:r>
        <w:separator/>
      </w:r>
    </w:p>
  </w:endnote>
  <w:endnote w:type="continuationSeparator" w:id="0">
    <w:p w14:paraId="0CEC5675" w14:textId="77777777" w:rsidR="0086491C" w:rsidRDefault="0086491C" w:rsidP="008B4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6690FE" w14:textId="77777777" w:rsidR="0086491C" w:rsidRDefault="0086491C" w:rsidP="008B48F1">
      <w:pPr>
        <w:spacing w:after="0" w:line="240" w:lineRule="auto"/>
      </w:pPr>
      <w:r>
        <w:separator/>
      </w:r>
    </w:p>
  </w:footnote>
  <w:footnote w:type="continuationSeparator" w:id="0">
    <w:p w14:paraId="7BAA5620" w14:textId="77777777" w:rsidR="0086491C" w:rsidRDefault="0086491C" w:rsidP="008B48F1">
      <w:pPr>
        <w:spacing w:after="0" w:line="240" w:lineRule="auto"/>
      </w:pPr>
      <w:r>
        <w:continuationSeparator/>
      </w:r>
    </w:p>
  </w:footnote>
  <w:footnote w:id="1">
    <w:p w14:paraId="458DE45F" w14:textId="22F86EDC" w:rsidR="00E35F08" w:rsidRPr="00815171" w:rsidRDefault="00E35F08" w:rsidP="00A560E4">
      <w:pPr>
        <w:spacing w:after="120" w:line="240" w:lineRule="auto"/>
        <w:ind w:right="432"/>
        <w:jc w:val="both"/>
        <w:rPr>
          <w:rFonts w:ascii="Verdana" w:hAnsi="Verdana"/>
          <w:sz w:val="17"/>
          <w:szCs w:val="17"/>
        </w:rPr>
      </w:pPr>
      <w:r w:rsidRPr="00815171">
        <w:rPr>
          <w:rStyle w:val="FootnoteReference"/>
          <w:rFonts w:ascii="Verdana" w:hAnsi="Verdana"/>
          <w:sz w:val="17"/>
          <w:szCs w:val="17"/>
        </w:rPr>
        <w:footnoteRef/>
      </w:r>
      <w:r w:rsidRPr="00815171">
        <w:rPr>
          <w:rFonts w:ascii="Verdana" w:hAnsi="Verdana"/>
          <w:sz w:val="17"/>
          <w:szCs w:val="17"/>
        </w:rPr>
        <w:t xml:space="preserve"> Residential density incentives are different public benefits that </w:t>
      </w:r>
      <w:r w:rsidR="00982B50">
        <w:rPr>
          <w:rFonts w:ascii="Verdana" w:hAnsi="Verdana"/>
          <w:sz w:val="17"/>
          <w:szCs w:val="17"/>
        </w:rPr>
        <w:t>applicants</w:t>
      </w:r>
      <w:r w:rsidR="00982B50" w:rsidRPr="00815171">
        <w:rPr>
          <w:rFonts w:ascii="Verdana" w:hAnsi="Verdana"/>
          <w:sz w:val="17"/>
          <w:szCs w:val="17"/>
        </w:rPr>
        <w:t xml:space="preserve"> </w:t>
      </w:r>
      <w:r w:rsidRPr="00815171">
        <w:rPr>
          <w:rFonts w:ascii="Verdana" w:hAnsi="Verdana"/>
          <w:sz w:val="17"/>
          <w:szCs w:val="17"/>
        </w:rPr>
        <w:t xml:space="preserve">can voluntarily pursue in exchange for additional residential density beyond the base density for the zone. Residential density incentives provide the community with public benefits that include, but are not limited to, higher quality or more open space, affordable housing, and funds that can be used to fill in missing pedestrian connections. Residential density incentives are often pursued with Planned Residential Development (PRD) and multi-family projects to obtain </w:t>
      </w:r>
      <w:r w:rsidR="00AB14A9" w:rsidRPr="00815171">
        <w:rPr>
          <w:rFonts w:ascii="Verdana" w:hAnsi="Verdana"/>
          <w:sz w:val="17"/>
          <w:szCs w:val="17"/>
        </w:rPr>
        <w:t xml:space="preserve">more density. </w:t>
      </w:r>
    </w:p>
  </w:footnote>
  <w:footnote w:id="2">
    <w:p w14:paraId="75C293D9" w14:textId="78B7479B" w:rsidR="00E35F08" w:rsidRDefault="00E35F08" w:rsidP="00A560E4">
      <w:pPr>
        <w:pStyle w:val="FootnoteText"/>
        <w:ind w:right="432"/>
        <w:jc w:val="both"/>
      </w:pPr>
      <w:r w:rsidRPr="00815171">
        <w:rPr>
          <w:rStyle w:val="FootnoteReference"/>
          <w:rFonts w:ascii="Verdana" w:hAnsi="Verdana"/>
          <w:sz w:val="17"/>
          <w:szCs w:val="17"/>
        </w:rPr>
        <w:footnoteRef/>
      </w:r>
      <w:r w:rsidRPr="00815171">
        <w:rPr>
          <w:rFonts w:ascii="Verdana" w:hAnsi="Verdana"/>
          <w:sz w:val="17"/>
          <w:szCs w:val="17"/>
        </w:rPr>
        <w:t xml:space="preserve"> Planned Residential Developments are a type of residential development that allows for greater density than a standard subdivision and</w:t>
      </w:r>
      <w:r w:rsidR="00815171">
        <w:rPr>
          <w:rFonts w:ascii="Verdana" w:hAnsi="Verdana"/>
          <w:sz w:val="17"/>
          <w:szCs w:val="17"/>
        </w:rPr>
        <w:t>,</w:t>
      </w:r>
      <w:r w:rsidRPr="00815171">
        <w:rPr>
          <w:rFonts w:ascii="Verdana" w:hAnsi="Verdana"/>
          <w:sz w:val="17"/>
          <w:szCs w:val="17"/>
        </w:rPr>
        <w:t xml:space="preserve"> in exchange</w:t>
      </w:r>
      <w:r w:rsidR="00815171">
        <w:rPr>
          <w:rFonts w:ascii="Verdana" w:hAnsi="Verdana"/>
          <w:sz w:val="17"/>
          <w:szCs w:val="17"/>
        </w:rPr>
        <w:t>,</w:t>
      </w:r>
      <w:r w:rsidRPr="00815171">
        <w:rPr>
          <w:rFonts w:ascii="Verdana" w:hAnsi="Verdana"/>
          <w:sz w:val="17"/>
          <w:szCs w:val="17"/>
        </w:rPr>
        <w:t xml:space="preserve"> requires </w:t>
      </w:r>
      <w:r w:rsidR="00815171">
        <w:rPr>
          <w:rFonts w:ascii="Verdana" w:hAnsi="Verdana"/>
          <w:sz w:val="17"/>
          <w:szCs w:val="17"/>
        </w:rPr>
        <w:t xml:space="preserve">that </w:t>
      </w:r>
      <w:r w:rsidRPr="00815171">
        <w:rPr>
          <w:rFonts w:ascii="Verdana" w:hAnsi="Verdana"/>
          <w:sz w:val="17"/>
          <w:szCs w:val="17"/>
        </w:rPr>
        <w:t>additional</w:t>
      </w:r>
      <w:r w:rsidR="00815171">
        <w:rPr>
          <w:rFonts w:ascii="Verdana" w:hAnsi="Verdana"/>
          <w:sz w:val="17"/>
          <w:szCs w:val="17"/>
        </w:rPr>
        <w:t xml:space="preserve"> amenities, improvements, and design elements such as open space, </w:t>
      </w:r>
      <w:r w:rsidR="00520865">
        <w:rPr>
          <w:rFonts w:ascii="Verdana" w:hAnsi="Verdana"/>
          <w:sz w:val="17"/>
          <w:szCs w:val="17"/>
        </w:rPr>
        <w:t xml:space="preserve">alternative access design (e.g. </w:t>
      </w:r>
      <w:r w:rsidR="00815171">
        <w:rPr>
          <w:rFonts w:ascii="Verdana" w:hAnsi="Verdana"/>
          <w:sz w:val="17"/>
          <w:szCs w:val="17"/>
        </w:rPr>
        <w:t xml:space="preserve">decorative </w:t>
      </w:r>
      <w:r w:rsidR="00520865">
        <w:rPr>
          <w:rFonts w:ascii="Verdana" w:hAnsi="Verdana"/>
          <w:sz w:val="17"/>
          <w:szCs w:val="17"/>
        </w:rPr>
        <w:t>paved auto courts),</w:t>
      </w:r>
      <w:r w:rsidR="00815171">
        <w:rPr>
          <w:rFonts w:ascii="Verdana" w:hAnsi="Verdana"/>
          <w:sz w:val="17"/>
          <w:szCs w:val="17"/>
        </w:rPr>
        <w:t xml:space="preserve"> and landscaping be incorporated in the site design.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D6450"/>
    <w:multiLevelType w:val="hybridMultilevel"/>
    <w:tmpl w:val="4B72ABDA"/>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7E7A91"/>
    <w:multiLevelType w:val="hybridMultilevel"/>
    <w:tmpl w:val="DBE6A2F8"/>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FD4EB0"/>
    <w:multiLevelType w:val="hybridMultilevel"/>
    <w:tmpl w:val="AF1C660C"/>
    <w:lvl w:ilvl="0" w:tplc="DE96A54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20A5DF4"/>
    <w:multiLevelType w:val="hybridMultilevel"/>
    <w:tmpl w:val="5C1C130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9968C8"/>
    <w:multiLevelType w:val="hybridMultilevel"/>
    <w:tmpl w:val="09E60A7C"/>
    <w:lvl w:ilvl="0" w:tplc="DE96A54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C170814"/>
    <w:multiLevelType w:val="hybridMultilevel"/>
    <w:tmpl w:val="363031AA"/>
    <w:lvl w:ilvl="0" w:tplc="BB02EEA0">
      <w:start w:val="1"/>
      <w:numFmt w:val="lowerLetter"/>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B65047"/>
    <w:multiLevelType w:val="hybridMultilevel"/>
    <w:tmpl w:val="FF38A06C"/>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5452F93"/>
    <w:multiLevelType w:val="hybridMultilevel"/>
    <w:tmpl w:val="BAF00CC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007ABF"/>
    <w:multiLevelType w:val="hybridMultilevel"/>
    <w:tmpl w:val="A656A7F2"/>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FB2E78"/>
    <w:multiLevelType w:val="hybridMultilevel"/>
    <w:tmpl w:val="B8C84A28"/>
    <w:lvl w:ilvl="0" w:tplc="7556EC7C">
      <w:start w:val="1"/>
      <w:numFmt w:val="bullet"/>
      <w:lvlText w:val="o"/>
      <w:lvlJc w:val="left"/>
      <w:pPr>
        <w:tabs>
          <w:tab w:val="num" w:pos="720"/>
        </w:tabs>
        <w:ind w:left="720" w:hanging="360"/>
      </w:pPr>
      <w:rPr>
        <w:rFonts w:ascii="Courier New" w:hAnsi="Courier New" w:hint="default"/>
      </w:rPr>
    </w:lvl>
    <w:lvl w:ilvl="1" w:tplc="03CCEE18">
      <w:start w:val="1"/>
      <w:numFmt w:val="bullet"/>
      <w:lvlText w:val="o"/>
      <w:lvlJc w:val="left"/>
      <w:pPr>
        <w:tabs>
          <w:tab w:val="num" w:pos="1440"/>
        </w:tabs>
        <w:ind w:left="1440" w:hanging="360"/>
      </w:pPr>
      <w:rPr>
        <w:rFonts w:ascii="Courier New" w:hAnsi="Courier New" w:hint="default"/>
      </w:rPr>
    </w:lvl>
    <w:lvl w:ilvl="2" w:tplc="9CE821E8" w:tentative="1">
      <w:start w:val="1"/>
      <w:numFmt w:val="bullet"/>
      <w:lvlText w:val="o"/>
      <w:lvlJc w:val="left"/>
      <w:pPr>
        <w:tabs>
          <w:tab w:val="num" w:pos="2160"/>
        </w:tabs>
        <w:ind w:left="2160" w:hanging="360"/>
      </w:pPr>
      <w:rPr>
        <w:rFonts w:ascii="Courier New" w:hAnsi="Courier New" w:hint="default"/>
      </w:rPr>
    </w:lvl>
    <w:lvl w:ilvl="3" w:tplc="406CCC4A" w:tentative="1">
      <w:start w:val="1"/>
      <w:numFmt w:val="bullet"/>
      <w:lvlText w:val="o"/>
      <w:lvlJc w:val="left"/>
      <w:pPr>
        <w:tabs>
          <w:tab w:val="num" w:pos="2880"/>
        </w:tabs>
        <w:ind w:left="2880" w:hanging="360"/>
      </w:pPr>
      <w:rPr>
        <w:rFonts w:ascii="Courier New" w:hAnsi="Courier New" w:hint="default"/>
      </w:rPr>
    </w:lvl>
    <w:lvl w:ilvl="4" w:tplc="CB46EC6E" w:tentative="1">
      <w:start w:val="1"/>
      <w:numFmt w:val="bullet"/>
      <w:lvlText w:val="o"/>
      <w:lvlJc w:val="left"/>
      <w:pPr>
        <w:tabs>
          <w:tab w:val="num" w:pos="3600"/>
        </w:tabs>
        <w:ind w:left="3600" w:hanging="360"/>
      </w:pPr>
      <w:rPr>
        <w:rFonts w:ascii="Courier New" w:hAnsi="Courier New" w:hint="default"/>
      </w:rPr>
    </w:lvl>
    <w:lvl w:ilvl="5" w:tplc="F432D61C" w:tentative="1">
      <w:start w:val="1"/>
      <w:numFmt w:val="bullet"/>
      <w:lvlText w:val="o"/>
      <w:lvlJc w:val="left"/>
      <w:pPr>
        <w:tabs>
          <w:tab w:val="num" w:pos="4320"/>
        </w:tabs>
        <w:ind w:left="4320" w:hanging="360"/>
      </w:pPr>
      <w:rPr>
        <w:rFonts w:ascii="Courier New" w:hAnsi="Courier New" w:hint="default"/>
      </w:rPr>
    </w:lvl>
    <w:lvl w:ilvl="6" w:tplc="9CAAB192" w:tentative="1">
      <w:start w:val="1"/>
      <w:numFmt w:val="bullet"/>
      <w:lvlText w:val="o"/>
      <w:lvlJc w:val="left"/>
      <w:pPr>
        <w:tabs>
          <w:tab w:val="num" w:pos="5040"/>
        </w:tabs>
        <w:ind w:left="5040" w:hanging="360"/>
      </w:pPr>
      <w:rPr>
        <w:rFonts w:ascii="Courier New" w:hAnsi="Courier New" w:hint="default"/>
      </w:rPr>
    </w:lvl>
    <w:lvl w:ilvl="7" w:tplc="AD2AD338" w:tentative="1">
      <w:start w:val="1"/>
      <w:numFmt w:val="bullet"/>
      <w:lvlText w:val="o"/>
      <w:lvlJc w:val="left"/>
      <w:pPr>
        <w:tabs>
          <w:tab w:val="num" w:pos="5760"/>
        </w:tabs>
        <w:ind w:left="5760" w:hanging="360"/>
      </w:pPr>
      <w:rPr>
        <w:rFonts w:ascii="Courier New" w:hAnsi="Courier New" w:hint="default"/>
      </w:rPr>
    </w:lvl>
    <w:lvl w:ilvl="8" w:tplc="98F684BE" w:tentative="1">
      <w:start w:val="1"/>
      <w:numFmt w:val="bullet"/>
      <w:lvlText w:val="o"/>
      <w:lvlJc w:val="left"/>
      <w:pPr>
        <w:tabs>
          <w:tab w:val="num" w:pos="6480"/>
        </w:tabs>
        <w:ind w:left="6480" w:hanging="360"/>
      </w:pPr>
      <w:rPr>
        <w:rFonts w:ascii="Courier New" w:hAnsi="Courier New" w:hint="default"/>
      </w:rPr>
    </w:lvl>
  </w:abstractNum>
  <w:abstractNum w:abstractNumId="10" w15:restartNumberingAfterBreak="0">
    <w:nsid w:val="609B70EF"/>
    <w:multiLevelType w:val="hybridMultilevel"/>
    <w:tmpl w:val="A3DE0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59F5DF8"/>
    <w:multiLevelType w:val="hybridMultilevel"/>
    <w:tmpl w:val="6B3E89C2"/>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2" w15:restartNumberingAfterBreak="0">
    <w:nsid w:val="6C652E9C"/>
    <w:multiLevelType w:val="hybridMultilevel"/>
    <w:tmpl w:val="AF82B9CE"/>
    <w:lvl w:ilvl="0" w:tplc="DE96A54C">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13" w15:restartNumberingAfterBreak="0">
    <w:nsid w:val="757132B7"/>
    <w:multiLevelType w:val="hybridMultilevel"/>
    <w:tmpl w:val="A1467534"/>
    <w:lvl w:ilvl="0" w:tplc="DE96A54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99B0173"/>
    <w:multiLevelType w:val="hybridMultilevel"/>
    <w:tmpl w:val="780AB020"/>
    <w:lvl w:ilvl="0" w:tplc="DE96A54C">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num w:numId="1">
    <w:abstractNumId w:val="10"/>
  </w:num>
  <w:num w:numId="2">
    <w:abstractNumId w:val="4"/>
  </w:num>
  <w:num w:numId="3">
    <w:abstractNumId w:val="12"/>
  </w:num>
  <w:num w:numId="4">
    <w:abstractNumId w:val="6"/>
  </w:num>
  <w:num w:numId="5">
    <w:abstractNumId w:val="11"/>
  </w:num>
  <w:num w:numId="6">
    <w:abstractNumId w:val="8"/>
  </w:num>
  <w:num w:numId="7">
    <w:abstractNumId w:val="9"/>
  </w:num>
  <w:num w:numId="8">
    <w:abstractNumId w:val="5"/>
  </w:num>
  <w:num w:numId="9">
    <w:abstractNumId w:val="0"/>
  </w:num>
  <w:num w:numId="10">
    <w:abstractNumId w:val="14"/>
  </w:num>
  <w:num w:numId="11">
    <w:abstractNumId w:val="7"/>
  </w:num>
  <w:num w:numId="12">
    <w:abstractNumId w:val="3"/>
  </w:num>
  <w:num w:numId="13">
    <w:abstractNumId w:val="2"/>
  </w:num>
  <w:num w:numId="14">
    <w:abstractNumId w:val="1"/>
  </w:num>
  <w:num w:numId="15">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45E"/>
    <w:rsid w:val="00004931"/>
    <w:rsid w:val="00006A76"/>
    <w:rsid w:val="00011FC3"/>
    <w:rsid w:val="00015F76"/>
    <w:rsid w:val="0002047A"/>
    <w:rsid w:val="00020B96"/>
    <w:rsid w:val="000263C3"/>
    <w:rsid w:val="00026BD6"/>
    <w:rsid w:val="0003251D"/>
    <w:rsid w:val="00036B78"/>
    <w:rsid w:val="00036C0C"/>
    <w:rsid w:val="00040F11"/>
    <w:rsid w:val="000522D1"/>
    <w:rsid w:val="000571FA"/>
    <w:rsid w:val="0006010C"/>
    <w:rsid w:val="0006191B"/>
    <w:rsid w:val="00062658"/>
    <w:rsid w:val="00066AFC"/>
    <w:rsid w:val="000759B9"/>
    <w:rsid w:val="0008498F"/>
    <w:rsid w:val="00085D23"/>
    <w:rsid w:val="00086BE3"/>
    <w:rsid w:val="00091B56"/>
    <w:rsid w:val="000A1122"/>
    <w:rsid w:val="000B0001"/>
    <w:rsid w:val="000B2E88"/>
    <w:rsid w:val="000C245E"/>
    <w:rsid w:val="000C472D"/>
    <w:rsid w:val="000E0F2C"/>
    <w:rsid w:val="000E41C3"/>
    <w:rsid w:val="000E5EA7"/>
    <w:rsid w:val="000E7317"/>
    <w:rsid w:val="000E7DAE"/>
    <w:rsid w:val="000F5A92"/>
    <w:rsid w:val="000F7BEA"/>
    <w:rsid w:val="001126F6"/>
    <w:rsid w:val="001176B4"/>
    <w:rsid w:val="00121701"/>
    <w:rsid w:val="00122FFB"/>
    <w:rsid w:val="00127E7C"/>
    <w:rsid w:val="00131B1F"/>
    <w:rsid w:val="00132483"/>
    <w:rsid w:val="0014171A"/>
    <w:rsid w:val="001452A2"/>
    <w:rsid w:val="00150146"/>
    <w:rsid w:val="0015227B"/>
    <w:rsid w:val="00152FE8"/>
    <w:rsid w:val="001536C8"/>
    <w:rsid w:val="00155A1D"/>
    <w:rsid w:val="00155F0A"/>
    <w:rsid w:val="00166BE0"/>
    <w:rsid w:val="001708D3"/>
    <w:rsid w:val="00171C4E"/>
    <w:rsid w:val="00172DE3"/>
    <w:rsid w:val="0017566E"/>
    <w:rsid w:val="00175A1B"/>
    <w:rsid w:val="00176530"/>
    <w:rsid w:val="001807B4"/>
    <w:rsid w:val="0018769D"/>
    <w:rsid w:val="00190113"/>
    <w:rsid w:val="0019224D"/>
    <w:rsid w:val="001944C8"/>
    <w:rsid w:val="00197123"/>
    <w:rsid w:val="001A4119"/>
    <w:rsid w:val="001B19A2"/>
    <w:rsid w:val="001B7AD1"/>
    <w:rsid w:val="001C049A"/>
    <w:rsid w:val="001C7278"/>
    <w:rsid w:val="001E0B25"/>
    <w:rsid w:val="001E29F3"/>
    <w:rsid w:val="001E5089"/>
    <w:rsid w:val="001E6CCF"/>
    <w:rsid w:val="001F1DFB"/>
    <w:rsid w:val="001F3DB1"/>
    <w:rsid w:val="00203274"/>
    <w:rsid w:val="00206A57"/>
    <w:rsid w:val="002114B9"/>
    <w:rsid w:val="00213576"/>
    <w:rsid w:val="00216320"/>
    <w:rsid w:val="00216D6D"/>
    <w:rsid w:val="0022268B"/>
    <w:rsid w:val="00225FE5"/>
    <w:rsid w:val="0023594F"/>
    <w:rsid w:val="00242F10"/>
    <w:rsid w:val="00246292"/>
    <w:rsid w:val="0026385E"/>
    <w:rsid w:val="00277673"/>
    <w:rsid w:val="00280813"/>
    <w:rsid w:val="00280B86"/>
    <w:rsid w:val="00280EC0"/>
    <w:rsid w:val="00284E4C"/>
    <w:rsid w:val="002A02A0"/>
    <w:rsid w:val="002A332D"/>
    <w:rsid w:val="002A5E8A"/>
    <w:rsid w:val="002A6F26"/>
    <w:rsid w:val="002A7BE8"/>
    <w:rsid w:val="002B34CF"/>
    <w:rsid w:val="002B474F"/>
    <w:rsid w:val="002B4F5C"/>
    <w:rsid w:val="002C07F9"/>
    <w:rsid w:val="002C1215"/>
    <w:rsid w:val="002C766D"/>
    <w:rsid w:val="002D278B"/>
    <w:rsid w:val="002D7008"/>
    <w:rsid w:val="002F0251"/>
    <w:rsid w:val="002F3412"/>
    <w:rsid w:val="002F7F0C"/>
    <w:rsid w:val="00304C29"/>
    <w:rsid w:val="00313718"/>
    <w:rsid w:val="00314FDD"/>
    <w:rsid w:val="00324050"/>
    <w:rsid w:val="00325C33"/>
    <w:rsid w:val="003267B0"/>
    <w:rsid w:val="00326C47"/>
    <w:rsid w:val="0033209A"/>
    <w:rsid w:val="00332FB4"/>
    <w:rsid w:val="003331B7"/>
    <w:rsid w:val="00335708"/>
    <w:rsid w:val="0033610C"/>
    <w:rsid w:val="0034634E"/>
    <w:rsid w:val="0034752A"/>
    <w:rsid w:val="0035006F"/>
    <w:rsid w:val="00352EB7"/>
    <w:rsid w:val="00357BC8"/>
    <w:rsid w:val="0036004A"/>
    <w:rsid w:val="003625BA"/>
    <w:rsid w:val="00364E89"/>
    <w:rsid w:val="00365837"/>
    <w:rsid w:val="0036629F"/>
    <w:rsid w:val="00372143"/>
    <w:rsid w:val="00373197"/>
    <w:rsid w:val="00376C79"/>
    <w:rsid w:val="00376E25"/>
    <w:rsid w:val="003848B0"/>
    <w:rsid w:val="00386D06"/>
    <w:rsid w:val="00396F8B"/>
    <w:rsid w:val="003A3898"/>
    <w:rsid w:val="003A5A56"/>
    <w:rsid w:val="003A6FF3"/>
    <w:rsid w:val="003B1F69"/>
    <w:rsid w:val="003B4293"/>
    <w:rsid w:val="003C298D"/>
    <w:rsid w:val="003C463C"/>
    <w:rsid w:val="003C5D88"/>
    <w:rsid w:val="003D017A"/>
    <w:rsid w:val="003D13E3"/>
    <w:rsid w:val="003E3EAB"/>
    <w:rsid w:val="003F2CE4"/>
    <w:rsid w:val="003F30B8"/>
    <w:rsid w:val="003F4C9F"/>
    <w:rsid w:val="00401FDD"/>
    <w:rsid w:val="00407A96"/>
    <w:rsid w:val="00413FAB"/>
    <w:rsid w:val="00416AF7"/>
    <w:rsid w:val="00417D71"/>
    <w:rsid w:val="00420851"/>
    <w:rsid w:val="004215A5"/>
    <w:rsid w:val="00422604"/>
    <w:rsid w:val="00424226"/>
    <w:rsid w:val="004247C1"/>
    <w:rsid w:val="00427288"/>
    <w:rsid w:val="004330FB"/>
    <w:rsid w:val="004369C7"/>
    <w:rsid w:val="00444AF3"/>
    <w:rsid w:val="004470B7"/>
    <w:rsid w:val="00450935"/>
    <w:rsid w:val="004526B8"/>
    <w:rsid w:val="00453191"/>
    <w:rsid w:val="00454460"/>
    <w:rsid w:val="004559B7"/>
    <w:rsid w:val="004563C1"/>
    <w:rsid w:val="0046362B"/>
    <w:rsid w:val="00464065"/>
    <w:rsid w:val="00465FA2"/>
    <w:rsid w:val="00466FBE"/>
    <w:rsid w:val="0047047C"/>
    <w:rsid w:val="00470505"/>
    <w:rsid w:val="00471602"/>
    <w:rsid w:val="00472AA5"/>
    <w:rsid w:val="004737C0"/>
    <w:rsid w:val="004835C5"/>
    <w:rsid w:val="00492895"/>
    <w:rsid w:val="00494F29"/>
    <w:rsid w:val="00497DD1"/>
    <w:rsid w:val="004B4976"/>
    <w:rsid w:val="004C4CCA"/>
    <w:rsid w:val="004C4F0F"/>
    <w:rsid w:val="004C6DBE"/>
    <w:rsid w:val="004D27CA"/>
    <w:rsid w:val="004D4879"/>
    <w:rsid w:val="004D59A6"/>
    <w:rsid w:val="004D6DCB"/>
    <w:rsid w:val="004E4367"/>
    <w:rsid w:val="004E5382"/>
    <w:rsid w:val="004F17AA"/>
    <w:rsid w:val="004F237E"/>
    <w:rsid w:val="004F34FC"/>
    <w:rsid w:val="004F4CC7"/>
    <w:rsid w:val="0050032D"/>
    <w:rsid w:val="00502BC4"/>
    <w:rsid w:val="00514DEB"/>
    <w:rsid w:val="00520865"/>
    <w:rsid w:val="005208F5"/>
    <w:rsid w:val="0052129C"/>
    <w:rsid w:val="005213CA"/>
    <w:rsid w:val="00522D85"/>
    <w:rsid w:val="005335DD"/>
    <w:rsid w:val="005451B5"/>
    <w:rsid w:val="00554963"/>
    <w:rsid w:val="005605BD"/>
    <w:rsid w:val="005657B4"/>
    <w:rsid w:val="00567978"/>
    <w:rsid w:val="00567C8C"/>
    <w:rsid w:val="00572AE4"/>
    <w:rsid w:val="005734EB"/>
    <w:rsid w:val="00575C96"/>
    <w:rsid w:val="005770A1"/>
    <w:rsid w:val="00592130"/>
    <w:rsid w:val="005971B7"/>
    <w:rsid w:val="005B5840"/>
    <w:rsid w:val="005B5C25"/>
    <w:rsid w:val="005C0B45"/>
    <w:rsid w:val="005C4CE2"/>
    <w:rsid w:val="005C6A44"/>
    <w:rsid w:val="005D2783"/>
    <w:rsid w:val="005D33D3"/>
    <w:rsid w:val="005D77F3"/>
    <w:rsid w:val="005E3C0E"/>
    <w:rsid w:val="005E7AF6"/>
    <w:rsid w:val="005E7D97"/>
    <w:rsid w:val="005F0242"/>
    <w:rsid w:val="005F07B9"/>
    <w:rsid w:val="005F421F"/>
    <w:rsid w:val="005F617D"/>
    <w:rsid w:val="006051CB"/>
    <w:rsid w:val="00605375"/>
    <w:rsid w:val="0060627C"/>
    <w:rsid w:val="00610786"/>
    <w:rsid w:val="00616B01"/>
    <w:rsid w:val="006219E8"/>
    <w:rsid w:val="00623CDD"/>
    <w:rsid w:val="006277A0"/>
    <w:rsid w:val="00627F3E"/>
    <w:rsid w:val="006324DB"/>
    <w:rsid w:val="00634103"/>
    <w:rsid w:val="0063579E"/>
    <w:rsid w:val="00636F6E"/>
    <w:rsid w:val="00637E23"/>
    <w:rsid w:val="00641329"/>
    <w:rsid w:val="00641F01"/>
    <w:rsid w:val="00643F09"/>
    <w:rsid w:val="00650804"/>
    <w:rsid w:val="00662383"/>
    <w:rsid w:val="0067059F"/>
    <w:rsid w:val="00671276"/>
    <w:rsid w:val="006738E7"/>
    <w:rsid w:val="00677BCA"/>
    <w:rsid w:val="00682CA9"/>
    <w:rsid w:val="00684E8D"/>
    <w:rsid w:val="006854E9"/>
    <w:rsid w:val="00685807"/>
    <w:rsid w:val="00686E2B"/>
    <w:rsid w:val="006938E1"/>
    <w:rsid w:val="006A0EA7"/>
    <w:rsid w:val="006A4BD1"/>
    <w:rsid w:val="006B29B5"/>
    <w:rsid w:val="006C520A"/>
    <w:rsid w:val="006C6574"/>
    <w:rsid w:val="006C6844"/>
    <w:rsid w:val="006C6C32"/>
    <w:rsid w:val="006C7E9B"/>
    <w:rsid w:val="006D0E7D"/>
    <w:rsid w:val="006E0849"/>
    <w:rsid w:val="006E09E4"/>
    <w:rsid w:val="006E34AA"/>
    <w:rsid w:val="006E5E2F"/>
    <w:rsid w:val="006F0A57"/>
    <w:rsid w:val="006F2F4D"/>
    <w:rsid w:val="006F4433"/>
    <w:rsid w:val="006F48BA"/>
    <w:rsid w:val="006F58B9"/>
    <w:rsid w:val="006F7674"/>
    <w:rsid w:val="00701332"/>
    <w:rsid w:val="0072074A"/>
    <w:rsid w:val="00721986"/>
    <w:rsid w:val="0072699E"/>
    <w:rsid w:val="0073097D"/>
    <w:rsid w:val="00731ED3"/>
    <w:rsid w:val="00731FA6"/>
    <w:rsid w:val="0073365B"/>
    <w:rsid w:val="00733B73"/>
    <w:rsid w:val="00733F5B"/>
    <w:rsid w:val="00743DFD"/>
    <w:rsid w:val="007471B7"/>
    <w:rsid w:val="00752AA2"/>
    <w:rsid w:val="00752AE9"/>
    <w:rsid w:val="00753A2D"/>
    <w:rsid w:val="00756159"/>
    <w:rsid w:val="00772447"/>
    <w:rsid w:val="00772E2B"/>
    <w:rsid w:val="007733D7"/>
    <w:rsid w:val="00773D40"/>
    <w:rsid w:val="00775B58"/>
    <w:rsid w:val="00777B8F"/>
    <w:rsid w:val="00782EE7"/>
    <w:rsid w:val="00784B2F"/>
    <w:rsid w:val="0078742F"/>
    <w:rsid w:val="00787FC4"/>
    <w:rsid w:val="00792C6C"/>
    <w:rsid w:val="007B0E6B"/>
    <w:rsid w:val="007C1098"/>
    <w:rsid w:val="007C520F"/>
    <w:rsid w:val="007D337F"/>
    <w:rsid w:val="007D35AB"/>
    <w:rsid w:val="007D4ABF"/>
    <w:rsid w:val="007D556D"/>
    <w:rsid w:val="007F1740"/>
    <w:rsid w:val="00800E61"/>
    <w:rsid w:val="00800F98"/>
    <w:rsid w:val="00815171"/>
    <w:rsid w:val="00816495"/>
    <w:rsid w:val="008206BE"/>
    <w:rsid w:val="00821A74"/>
    <w:rsid w:val="00822B25"/>
    <w:rsid w:val="00824129"/>
    <w:rsid w:val="00836AF6"/>
    <w:rsid w:val="0084518B"/>
    <w:rsid w:val="00845F03"/>
    <w:rsid w:val="008515C1"/>
    <w:rsid w:val="008516FB"/>
    <w:rsid w:val="008517EC"/>
    <w:rsid w:val="00854890"/>
    <w:rsid w:val="008550D8"/>
    <w:rsid w:val="00856077"/>
    <w:rsid w:val="00863728"/>
    <w:rsid w:val="0086491C"/>
    <w:rsid w:val="0086504B"/>
    <w:rsid w:val="00874DE3"/>
    <w:rsid w:val="0087573C"/>
    <w:rsid w:val="008817C9"/>
    <w:rsid w:val="0088244E"/>
    <w:rsid w:val="00883713"/>
    <w:rsid w:val="0088378F"/>
    <w:rsid w:val="00884D36"/>
    <w:rsid w:val="00885CBC"/>
    <w:rsid w:val="0088713A"/>
    <w:rsid w:val="00895399"/>
    <w:rsid w:val="008B15E8"/>
    <w:rsid w:val="008B179B"/>
    <w:rsid w:val="008B45E3"/>
    <w:rsid w:val="008B48F1"/>
    <w:rsid w:val="008C3999"/>
    <w:rsid w:val="008C42D4"/>
    <w:rsid w:val="008C6208"/>
    <w:rsid w:val="008D48AE"/>
    <w:rsid w:val="008D5D77"/>
    <w:rsid w:val="008E30DB"/>
    <w:rsid w:val="008E36E6"/>
    <w:rsid w:val="008E5036"/>
    <w:rsid w:val="008E713D"/>
    <w:rsid w:val="008F5BD3"/>
    <w:rsid w:val="008F6D0D"/>
    <w:rsid w:val="008F7BF4"/>
    <w:rsid w:val="009003A0"/>
    <w:rsid w:val="009033FF"/>
    <w:rsid w:val="00903B44"/>
    <w:rsid w:val="009169D9"/>
    <w:rsid w:val="00920C74"/>
    <w:rsid w:val="00922DFA"/>
    <w:rsid w:val="0092568C"/>
    <w:rsid w:val="009273C5"/>
    <w:rsid w:val="009331BB"/>
    <w:rsid w:val="009368E0"/>
    <w:rsid w:val="00941D76"/>
    <w:rsid w:val="0094789E"/>
    <w:rsid w:val="00951CC7"/>
    <w:rsid w:val="00957AE9"/>
    <w:rsid w:val="0096452B"/>
    <w:rsid w:val="00967BAA"/>
    <w:rsid w:val="00976EB0"/>
    <w:rsid w:val="00982B50"/>
    <w:rsid w:val="009878CD"/>
    <w:rsid w:val="00992C48"/>
    <w:rsid w:val="00996728"/>
    <w:rsid w:val="009A754B"/>
    <w:rsid w:val="009A7717"/>
    <w:rsid w:val="009B05B5"/>
    <w:rsid w:val="009B0855"/>
    <w:rsid w:val="009B43EE"/>
    <w:rsid w:val="009B5E38"/>
    <w:rsid w:val="009B6DA3"/>
    <w:rsid w:val="009D5A62"/>
    <w:rsid w:val="009E3729"/>
    <w:rsid w:val="009E46EB"/>
    <w:rsid w:val="009E6B34"/>
    <w:rsid w:val="009F2B75"/>
    <w:rsid w:val="00A021E4"/>
    <w:rsid w:val="00A10BFA"/>
    <w:rsid w:val="00A1575E"/>
    <w:rsid w:val="00A27257"/>
    <w:rsid w:val="00A353C9"/>
    <w:rsid w:val="00A35CBC"/>
    <w:rsid w:val="00A3705A"/>
    <w:rsid w:val="00A37708"/>
    <w:rsid w:val="00A413A9"/>
    <w:rsid w:val="00A5044A"/>
    <w:rsid w:val="00A52D29"/>
    <w:rsid w:val="00A53DF0"/>
    <w:rsid w:val="00A55DC7"/>
    <w:rsid w:val="00A560E4"/>
    <w:rsid w:val="00A61050"/>
    <w:rsid w:val="00A75999"/>
    <w:rsid w:val="00A845C2"/>
    <w:rsid w:val="00A87DAF"/>
    <w:rsid w:val="00A90F29"/>
    <w:rsid w:val="00A964D8"/>
    <w:rsid w:val="00AA48E0"/>
    <w:rsid w:val="00AA7035"/>
    <w:rsid w:val="00AB14A9"/>
    <w:rsid w:val="00AB192E"/>
    <w:rsid w:val="00AB1CAC"/>
    <w:rsid w:val="00AB1F22"/>
    <w:rsid w:val="00AB56D0"/>
    <w:rsid w:val="00AC14FA"/>
    <w:rsid w:val="00AC5973"/>
    <w:rsid w:val="00AE4909"/>
    <w:rsid w:val="00AF00ED"/>
    <w:rsid w:val="00AF27A3"/>
    <w:rsid w:val="00B00175"/>
    <w:rsid w:val="00B10001"/>
    <w:rsid w:val="00B10A82"/>
    <w:rsid w:val="00B113A2"/>
    <w:rsid w:val="00B1558A"/>
    <w:rsid w:val="00B202CD"/>
    <w:rsid w:val="00B2112B"/>
    <w:rsid w:val="00B21A2F"/>
    <w:rsid w:val="00B22D05"/>
    <w:rsid w:val="00B24BFE"/>
    <w:rsid w:val="00B30666"/>
    <w:rsid w:val="00B44550"/>
    <w:rsid w:val="00B50D85"/>
    <w:rsid w:val="00B533C2"/>
    <w:rsid w:val="00B61555"/>
    <w:rsid w:val="00B655BE"/>
    <w:rsid w:val="00B656F1"/>
    <w:rsid w:val="00B65994"/>
    <w:rsid w:val="00B67E01"/>
    <w:rsid w:val="00B73830"/>
    <w:rsid w:val="00B744A8"/>
    <w:rsid w:val="00B749F6"/>
    <w:rsid w:val="00B80D7E"/>
    <w:rsid w:val="00B816C3"/>
    <w:rsid w:val="00B83111"/>
    <w:rsid w:val="00B93BB3"/>
    <w:rsid w:val="00B96619"/>
    <w:rsid w:val="00BB0503"/>
    <w:rsid w:val="00BB563B"/>
    <w:rsid w:val="00BC12C2"/>
    <w:rsid w:val="00BC1D76"/>
    <w:rsid w:val="00BC2CBC"/>
    <w:rsid w:val="00BD1CBE"/>
    <w:rsid w:val="00BD3856"/>
    <w:rsid w:val="00BD7BBA"/>
    <w:rsid w:val="00BE035B"/>
    <w:rsid w:val="00BE367D"/>
    <w:rsid w:val="00BF29A1"/>
    <w:rsid w:val="00BF4F00"/>
    <w:rsid w:val="00C00318"/>
    <w:rsid w:val="00C05918"/>
    <w:rsid w:val="00C10E33"/>
    <w:rsid w:val="00C12CCC"/>
    <w:rsid w:val="00C14F7A"/>
    <w:rsid w:val="00C42745"/>
    <w:rsid w:val="00C51826"/>
    <w:rsid w:val="00C62EF0"/>
    <w:rsid w:val="00C64AAB"/>
    <w:rsid w:val="00C64B72"/>
    <w:rsid w:val="00C65401"/>
    <w:rsid w:val="00C6545E"/>
    <w:rsid w:val="00C669B8"/>
    <w:rsid w:val="00C716DA"/>
    <w:rsid w:val="00C765BD"/>
    <w:rsid w:val="00C825F4"/>
    <w:rsid w:val="00C8506B"/>
    <w:rsid w:val="00C8705F"/>
    <w:rsid w:val="00C901E3"/>
    <w:rsid w:val="00C90C47"/>
    <w:rsid w:val="00C91932"/>
    <w:rsid w:val="00C95B2E"/>
    <w:rsid w:val="00C979A7"/>
    <w:rsid w:val="00CA5278"/>
    <w:rsid w:val="00CB3D11"/>
    <w:rsid w:val="00CB5DA5"/>
    <w:rsid w:val="00CB6432"/>
    <w:rsid w:val="00CB7E13"/>
    <w:rsid w:val="00CC5A7A"/>
    <w:rsid w:val="00CC738A"/>
    <w:rsid w:val="00CD12CF"/>
    <w:rsid w:val="00CE07C0"/>
    <w:rsid w:val="00CE2E14"/>
    <w:rsid w:val="00CE7C00"/>
    <w:rsid w:val="00CF0268"/>
    <w:rsid w:val="00CF2B46"/>
    <w:rsid w:val="00CF36B1"/>
    <w:rsid w:val="00CF6BF7"/>
    <w:rsid w:val="00D037E7"/>
    <w:rsid w:val="00D06523"/>
    <w:rsid w:val="00D10676"/>
    <w:rsid w:val="00D2195C"/>
    <w:rsid w:val="00D27E2C"/>
    <w:rsid w:val="00D42602"/>
    <w:rsid w:val="00D57224"/>
    <w:rsid w:val="00D731CF"/>
    <w:rsid w:val="00D80A45"/>
    <w:rsid w:val="00D9158A"/>
    <w:rsid w:val="00D92644"/>
    <w:rsid w:val="00D93391"/>
    <w:rsid w:val="00DA023A"/>
    <w:rsid w:val="00DA3756"/>
    <w:rsid w:val="00DA5C2D"/>
    <w:rsid w:val="00DA68F1"/>
    <w:rsid w:val="00DB4D0F"/>
    <w:rsid w:val="00DB7858"/>
    <w:rsid w:val="00DC0610"/>
    <w:rsid w:val="00DC1596"/>
    <w:rsid w:val="00DC2973"/>
    <w:rsid w:val="00DD1D12"/>
    <w:rsid w:val="00DE1E85"/>
    <w:rsid w:val="00DE2DF6"/>
    <w:rsid w:val="00DE4318"/>
    <w:rsid w:val="00DE44F5"/>
    <w:rsid w:val="00DE6F0D"/>
    <w:rsid w:val="00DE786B"/>
    <w:rsid w:val="00DF3929"/>
    <w:rsid w:val="00DF41EA"/>
    <w:rsid w:val="00E02461"/>
    <w:rsid w:val="00E04763"/>
    <w:rsid w:val="00E07F58"/>
    <w:rsid w:val="00E11E31"/>
    <w:rsid w:val="00E16FAF"/>
    <w:rsid w:val="00E17689"/>
    <w:rsid w:val="00E214FA"/>
    <w:rsid w:val="00E25647"/>
    <w:rsid w:val="00E333F8"/>
    <w:rsid w:val="00E342AC"/>
    <w:rsid w:val="00E35F08"/>
    <w:rsid w:val="00E6041B"/>
    <w:rsid w:val="00E712C6"/>
    <w:rsid w:val="00E748D1"/>
    <w:rsid w:val="00E770EC"/>
    <w:rsid w:val="00E77985"/>
    <w:rsid w:val="00E87EA0"/>
    <w:rsid w:val="00E92D8A"/>
    <w:rsid w:val="00E96E44"/>
    <w:rsid w:val="00EA01DF"/>
    <w:rsid w:val="00EA5DBD"/>
    <w:rsid w:val="00EA7B62"/>
    <w:rsid w:val="00EA7BF5"/>
    <w:rsid w:val="00EB2B70"/>
    <w:rsid w:val="00EB51D2"/>
    <w:rsid w:val="00EB65F7"/>
    <w:rsid w:val="00EC384F"/>
    <w:rsid w:val="00EC7025"/>
    <w:rsid w:val="00ED0A3E"/>
    <w:rsid w:val="00ED3BE1"/>
    <w:rsid w:val="00ED679A"/>
    <w:rsid w:val="00EE02B1"/>
    <w:rsid w:val="00EE282E"/>
    <w:rsid w:val="00EE7431"/>
    <w:rsid w:val="00F0046B"/>
    <w:rsid w:val="00F027D1"/>
    <w:rsid w:val="00F064EB"/>
    <w:rsid w:val="00F103FF"/>
    <w:rsid w:val="00F11FAD"/>
    <w:rsid w:val="00F1420C"/>
    <w:rsid w:val="00F2121C"/>
    <w:rsid w:val="00F25C1E"/>
    <w:rsid w:val="00F313BA"/>
    <w:rsid w:val="00F31B11"/>
    <w:rsid w:val="00F33E01"/>
    <w:rsid w:val="00F37046"/>
    <w:rsid w:val="00F4314E"/>
    <w:rsid w:val="00F5215D"/>
    <w:rsid w:val="00F53135"/>
    <w:rsid w:val="00F541FC"/>
    <w:rsid w:val="00F54E4A"/>
    <w:rsid w:val="00F603DA"/>
    <w:rsid w:val="00F6206A"/>
    <w:rsid w:val="00F63263"/>
    <w:rsid w:val="00F66A8B"/>
    <w:rsid w:val="00F77FB6"/>
    <w:rsid w:val="00F91B1B"/>
    <w:rsid w:val="00FA1AFE"/>
    <w:rsid w:val="00FA4772"/>
    <w:rsid w:val="00FB5AA7"/>
    <w:rsid w:val="00FB6280"/>
    <w:rsid w:val="00FE1151"/>
    <w:rsid w:val="00FE14F1"/>
    <w:rsid w:val="00FE6AFB"/>
    <w:rsid w:val="00FF38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787C1"/>
  <w15:chartTrackingRefBased/>
  <w15:docId w15:val="{5EFA5356-5495-4BAC-AC9B-6D36CA969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545E"/>
  </w:style>
  <w:style w:type="paragraph" w:styleId="Heading2">
    <w:name w:val="heading 2"/>
    <w:basedOn w:val="Normal"/>
    <w:next w:val="Normal"/>
    <w:link w:val="Heading2Char"/>
    <w:qFormat/>
    <w:rsid w:val="00417D71"/>
    <w:pPr>
      <w:keepNext/>
      <w:tabs>
        <w:tab w:val="right" w:pos="9360"/>
      </w:tabs>
      <w:spacing w:after="0" w:line="240" w:lineRule="auto"/>
      <w:outlineLvl w:val="1"/>
    </w:pPr>
    <w:rPr>
      <w:rFonts w:ascii="Garamond" w:eastAsia="Times New Roman" w:hAnsi="Garamond"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654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545E"/>
  </w:style>
  <w:style w:type="table" w:styleId="GridTable2-Accent5">
    <w:name w:val="Grid Table 2 Accent 5"/>
    <w:basedOn w:val="TableNormal"/>
    <w:uiPriority w:val="47"/>
    <w:rsid w:val="00C6545E"/>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p3">
    <w:name w:val="p3"/>
    <w:basedOn w:val="Normal"/>
    <w:rsid w:val="00C6545E"/>
    <w:pPr>
      <w:spacing w:after="300" w:line="240" w:lineRule="auto"/>
      <w:ind w:left="1032"/>
      <w:textAlignment w:val="baseline"/>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B48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48F1"/>
  </w:style>
  <w:style w:type="paragraph" w:styleId="ListParagraph">
    <w:name w:val="List Paragraph"/>
    <w:basedOn w:val="Normal"/>
    <w:uiPriority w:val="34"/>
    <w:qFormat/>
    <w:rsid w:val="00C716DA"/>
    <w:pPr>
      <w:ind w:left="720"/>
      <w:contextualSpacing/>
    </w:pPr>
  </w:style>
  <w:style w:type="character" w:styleId="CommentReference">
    <w:name w:val="annotation reference"/>
    <w:basedOn w:val="DefaultParagraphFont"/>
    <w:uiPriority w:val="99"/>
    <w:semiHidden/>
    <w:unhideWhenUsed/>
    <w:rsid w:val="00EA5DBD"/>
    <w:rPr>
      <w:sz w:val="16"/>
      <w:szCs w:val="16"/>
    </w:rPr>
  </w:style>
  <w:style w:type="paragraph" w:styleId="CommentText">
    <w:name w:val="annotation text"/>
    <w:basedOn w:val="Normal"/>
    <w:link w:val="CommentTextChar"/>
    <w:uiPriority w:val="99"/>
    <w:semiHidden/>
    <w:unhideWhenUsed/>
    <w:rsid w:val="00EA5DBD"/>
    <w:pPr>
      <w:spacing w:line="240" w:lineRule="auto"/>
    </w:pPr>
    <w:rPr>
      <w:sz w:val="20"/>
      <w:szCs w:val="20"/>
    </w:rPr>
  </w:style>
  <w:style w:type="character" w:customStyle="1" w:styleId="CommentTextChar">
    <w:name w:val="Comment Text Char"/>
    <w:basedOn w:val="DefaultParagraphFont"/>
    <w:link w:val="CommentText"/>
    <w:uiPriority w:val="99"/>
    <w:semiHidden/>
    <w:rsid w:val="00EA5DBD"/>
    <w:rPr>
      <w:sz w:val="20"/>
      <w:szCs w:val="20"/>
    </w:rPr>
  </w:style>
  <w:style w:type="paragraph" w:styleId="CommentSubject">
    <w:name w:val="annotation subject"/>
    <w:basedOn w:val="CommentText"/>
    <w:next w:val="CommentText"/>
    <w:link w:val="CommentSubjectChar"/>
    <w:uiPriority w:val="99"/>
    <w:semiHidden/>
    <w:unhideWhenUsed/>
    <w:rsid w:val="00EA5DBD"/>
    <w:rPr>
      <w:b/>
      <w:bCs/>
    </w:rPr>
  </w:style>
  <w:style w:type="character" w:customStyle="1" w:styleId="CommentSubjectChar">
    <w:name w:val="Comment Subject Char"/>
    <w:basedOn w:val="CommentTextChar"/>
    <w:link w:val="CommentSubject"/>
    <w:uiPriority w:val="99"/>
    <w:semiHidden/>
    <w:rsid w:val="00EA5DBD"/>
    <w:rPr>
      <w:b/>
      <w:bCs/>
      <w:sz w:val="20"/>
      <w:szCs w:val="20"/>
    </w:rPr>
  </w:style>
  <w:style w:type="paragraph" w:styleId="BalloonText">
    <w:name w:val="Balloon Text"/>
    <w:basedOn w:val="Normal"/>
    <w:link w:val="BalloonTextChar"/>
    <w:uiPriority w:val="99"/>
    <w:semiHidden/>
    <w:unhideWhenUsed/>
    <w:rsid w:val="00EA5D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5DBD"/>
    <w:rPr>
      <w:rFonts w:ascii="Segoe UI" w:hAnsi="Segoe UI" w:cs="Segoe UI"/>
      <w:sz w:val="18"/>
      <w:szCs w:val="18"/>
    </w:rPr>
  </w:style>
  <w:style w:type="character" w:styleId="Hyperlink">
    <w:name w:val="Hyperlink"/>
    <w:basedOn w:val="DefaultParagraphFont"/>
    <w:uiPriority w:val="99"/>
    <w:unhideWhenUsed/>
    <w:rsid w:val="00D2195C"/>
    <w:rPr>
      <w:color w:val="003399"/>
      <w:u w:val="single"/>
    </w:rPr>
  </w:style>
  <w:style w:type="paragraph" w:customStyle="1" w:styleId="p1">
    <w:name w:val="p1"/>
    <w:basedOn w:val="Normal"/>
    <w:rsid w:val="004526B8"/>
    <w:pPr>
      <w:spacing w:after="240" w:line="384" w:lineRule="atLeast"/>
      <w:textAlignment w:val="baseline"/>
    </w:pPr>
    <w:rPr>
      <w:rFonts w:ascii="Arial" w:eastAsia="Times New Roman" w:hAnsi="Arial" w:cs="Arial"/>
      <w:color w:val="000000"/>
      <w:sz w:val="19"/>
      <w:szCs w:val="19"/>
    </w:rPr>
  </w:style>
  <w:style w:type="table" w:styleId="TableGrid">
    <w:name w:val="Table Grid"/>
    <w:basedOn w:val="TableNormal"/>
    <w:uiPriority w:val="39"/>
    <w:rsid w:val="004526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5918"/>
    <w:pPr>
      <w:autoSpaceDE w:val="0"/>
      <w:autoSpaceDN w:val="0"/>
      <w:adjustRightInd w:val="0"/>
      <w:spacing w:after="0" w:line="240" w:lineRule="auto"/>
    </w:pPr>
    <w:rPr>
      <w:rFonts w:ascii="Verdana" w:hAnsi="Verdana" w:cs="Verdana"/>
      <w:color w:val="000000"/>
      <w:sz w:val="24"/>
      <w:szCs w:val="24"/>
    </w:rPr>
  </w:style>
  <w:style w:type="table" w:styleId="ListTable2-Accent5">
    <w:name w:val="List Table 2 Accent 5"/>
    <w:basedOn w:val="TableNormal"/>
    <w:uiPriority w:val="47"/>
    <w:rsid w:val="0036629F"/>
    <w:pPr>
      <w:spacing w:after="0" w:line="240" w:lineRule="auto"/>
    </w:p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rsid w:val="00417D71"/>
    <w:rPr>
      <w:rFonts w:ascii="Garamond" w:eastAsia="Times New Roman" w:hAnsi="Garamond" w:cs="Times New Roman"/>
      <w:b/>
      <w:bCs/>
      <w:sz w:val="24"/>
      <w:szCs w:val="24"/>
    </w:rPr>
  </w:style>
  <w:style w:type="paragraph" w:styleId="BodyTextIndent">
    <w:name w:val="Body Text Indent"/>
    <w:basedOn w:val="Normal"/>
    <w:link w:val="BodyTextIndentChar"/>
    <w:rsid w:val="00304C29"/>
    <w:pPr>
      <w:spacing w:after="0" w:line="240" w:lineRule="auto"/>
      <w:ind w:left="54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304C29"/>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71C4E"/>
    <w:rPr>
      <w:color w:val="954F72" w:themeColor="followedHyperlink"/>
      <w:u w:val="single"/>
    </w:rPr>
  </w:style>
  <w:style w:type="paragraph" w:styleId="FootnoteText">
    <w:name w:val="footnote text"/>
    <w:basedOn w:val="Normal"/>
    <w:link w:val="FootnoteTextChar"/>
    <w:uiPriority w:val="99"/>
    <w:semiHidden/>
    <w:unhideWhenUsed/>
    <w:rsid w:val="00E35F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5F08"/>
    <w:rPr>
      <w:sz w:val="20"/>
      <w:szCs w:val="20"/>
    </w:rPr>
  </w:style>
  <w:style w:type="character" w:styleId="FootnoteReference">
    <w:name w:val="footnote reference"/>
    <w:basedOn w:val="DefaultParagraphFont"/>
    <w:uiPriority w:val="99"/>
    <w:semiHidden/>
    <w:unhideWhenUsed/>
    <w:rsid w:val="00E35F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090685">
      <w:bodyDiv w:val="1"/>
      <w:marLeft w:val="0"/>
      <w:marRight w:val="0"/>
      <w:marTop w:val="0"/>
      <w:marBottom w:val="0"/>
      <w:divBdr>
        <w:top w:val="none" w:sz="0" w:space="0" w:color="auto"/>
        <w:left w:val="none" w:sz="0" w:space="0" w:color="auto"/>
        <w:bottom w:val="none" w:sz="0" w:space="0" w:color="auto"/>
        <w:right w:val="none" w:sz="0" w:space="0" w:color="auto"/>
      </w:divBdr>
      <w:divsChild>
        <w:div w:id="1248882897">
          <w:marLeft w:val="0"/>
          <w:marRight w:val="0"/>
          <w:marTop w:val="0"/>
          <w:marBottom w:val="0"/>
          <w:divBdr>
            <w:top w:val="none" w:sz="0" w:space="0" w:color="auto"/>
            <w:left w:val="none" w:sz="0" w:space="0" w:color="auto"/>
            <w:bottom w:val="none" w:sz="0" w:space="0" w:color="auto"/>
            <w:right w:val="none" w:sz="0" w:space="0" w:color="auto"/>
          </w:divBdr>
          <w:divsChild>
            <w:div w:id="931430314">
              <w:marLeft w:val="0"/>
              <w:marRight w:val="0"/>
              <w:marTop w:val="0"/>
              <w:marBottom w:val="0"/>
              <w:divBdr>
                <w:top w:val="none" w:sz="0" w:space="0" w:color="auto"/>
                <w:left w:val="none" w:sz="0" w:space="0" w:color="auto"/>
                <w:bottom w:val="none" w:sz="0" w:space="0" w:color="auto"/>
                <w:right w:val="none" w:sz="0" w:space="0" w:color="auto"/>
              </w:divBdr>
              <w:divsChild>
                <w:div w:id="1190799234">
                  <w:marLeft w:val="0"/>
                  <w:marRight w:val="0"/>
                  <w:marTop w:val="0"/>
                  <w:marBottom w:val="0"/>
                  <w:divBdr>
                    <w:top w:val="none" w:sz="0" w:space="0" w:color="auto"/>
                    <w:left w:val="none" w:sz="0" w:space="0" w:color="auto"/>
                    <w:bottom w:val="none" w:sz="0" w:space="0" w:color="auto"/>
                    <w:right w:val="none" w:sz="0" w:space="0" w:color="auto"/>
                  </w:divBdr>
                  <w:divsChild>
                    <w:div w:id="119152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766227">
      <w:bodyDiv w:val="1"/>
      <w:marLeft w:val="0"/>
      <w:marRight w:val="0"/>
      <w:marTop w:val="0"/>
      <w:marBottom w:val="0"/>
      <w:divBdr>
        <w:top w:val="none" w:sz="0" w:space="0" w:color="auto"/>
        <w:left w:val="none" w:sz="0" w:space="0" w:color="auto"/>
        <w:bottom w:val="none" w:sz="0" w:space="0" w:color="auto"/>
        <w:right w:val="none" w:sz="0" w:space="0" w:color="auto"/>
      </w:divBdr>
      <w:divsChild>
        <w:div w:id="2103183172">
          <w:marLeft w:val="0"/>
          <w:marRight w:val="0"/>
          <w:marTop w:val="0"/>
          <w:marBottom w:val="0"/>
          <w:divBdr>
            <w:top w:val="none" w:sz="0" w:space="0" w:color="auto"/>
            <w:left w:val="none" w:sz="0" w:space="0" w:color="auto"/>
            <w:bottom w:val="none" w:sz="0" w:space="0" w:color="auto"/>
            <w:right w:val="none" w:sz="0" w:space="0" w:color="auto"/>
          </w:divBdr>
          <w:divsChild>
            <w:div w:id="226495589">
              <w:marLeft w:val="0"/>
              <w:marRight w:val="0"/>
              <w:marTop w:val="0"/>
              <w:marBottom w:val="0"/>
              <w:divBdr>
                <w:top w:val="none" w:sz="0" w:space="0" w:color="auto"/>
                <w:left w:val="none" w:sz="0" w:space="0" w:color="auto"/>
                <w:bottom w:val="none" w:sz="0" w:space="0" w:color="auto"/>
                <w:right w:val="none" w:sz="0" w:space="0" w:color="auto"/>
              </w:divBdr>
              <w:divsChild>
                <w:div w:id="326054856">
                  <w:marLeft w:val="0"/>
                  <w:marRight w:val="0"/>
                  <w:marTop w:val="0"/>
                  <w:marBottom w:val="0"/>
                  <w:divBdr>
                    <w:top w:val="none" w:sz="0" w:space="0" w:color="auto"/>
                    <w:left w:val="none" w:sz="0" w:space="0" w:color="auto"/>
                    <w:bottom w:val="none" w:sz="0" w:space="0" w:color="auto"/>
                    <w:right w:val="none" w:sz="0" w:space="0" w:color="auto"/>
                  </w:divBdr>
                  <w:divsChild>
                    <w:div w:id="2089568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599142">
      <w:bodyDiv w:val="1"/>
      <w:marLeft w:val="0"/>
      <w:marRight w:val="0"/>
      <w:marTop w:val="0"/>
      <w:marBottom w:val="0"/>
      <w:divBdr>
        <w:top w:val="none" w:sz="0" w:space="0" w:color="auto"/>
        <w:left w:val="none" w:sz="0" w:space="0" w:color="auto"/>
        <w:bottom w:val="none" w:sz="0" w:space="0" w:color="auto"/>
        <w:right w:val="none" w:sz="0" w:space="0" w:color="auto"/>
      </w:divBdr>
      <w:divsChild>
        <w:div w:id="1089083686">
          <w:marLeft w:val="0"/>
          <w:marRight w:val="0"/>
          <w:marTop w:val="0"/>
          <w:marBottom w:val="0"/>
          <w:divBdr>
            <w:top w:val="none" w:sz="0" w:space="0" w:color="auto"/>
            <w:left w:val="none" w:sz="0" w:space="0" w:color="auto"/>
            <w:bottom w:val="none" w:sz="0" w:space="0" w:color="auto"/>
            <w:right w:val="none" w:sz="0" w:space="0" w:color="auto"/>
          </w:divBdr>
          <w:divsChild>
            <w:div w:id="1430083759">
              <w:marLeft w:val="0"/>
              <w:marRight w:val="0"/>
              <w:marTop w:val="0"/>
              <w:marBottom w:val="0"/>
              <w:divBdr>
                <w:top w:val="none" w:sz="0" w:space="0" w:color="auto"/>
                <w:left w:val="none" w:sz="0" w:space="0" w:color="auto"/>
                <w:bottom w:val="none" w:sz="0" w:space="0" w:color="auto"/>
                <w:right w:val="none" w:sz="0" w:space="0" w:color="auto"/>
              </w:divBdr>
              <w:divsChild>
                <w:div w:id="875384569">
                  <w:marLeft w:val="0"/>
                  <w:marRight w:val="0"/>
                  <w:marTop w:val="0"/>
                  <w:marBottom w:val="0"/>
                  <w:divBdr>
                    <w:top w:val="none" w:sz="0" w:space="0" w:color="auto"/>
                    <w:left w:val="none" w:sz="0" w:space="0" w:color="auto"/>
                    <w:bottom w:val="none" w:sz="0" w:space="0" w:color="auto"/>
                    <w:right w:val="none" w:sz="0" w:space="0" w:color="auto"/>
                  </w:divBdr>
                  <w:divsChild>
                    <w:div w:id="81618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171614">
      <w:bodyDiv w:val="1"/>
      <w:marLeft w:val="0"/>
      <w:marRight w:val="0"/>
      <w:marTop w:val="0"/>
      <w:marBottom w:val="0"/>
      <w:divBdr>
        <w:top w:val="none" w:sz="0" w:space="0" w:color="auto"/>
        <w:left w:val="none" w:sz="0" w:space="0" w:color="auto"/>
        <w:bottom w:val="none" w:sz="0" w:space="0" w:color="auto"/>
        <w:right w:val="none" w:sz="0" w:space="0" w:color="auto"/>
      </w:divBdr>
      <w:divsChild>
        <w:div w:id="346373930">
          <w:marLeft w:val="547"/>
          <w:marRight w:val="0"/>
          <w:marTop w:val="120"/>
          <w:marBottom w:val="0"/>
          <w:divBdr>
            <w:top w:val="none" w:sz="0" w:space="0" w:color="auto"/>
            <w:left w:val="none" w:sz="0" w:space="0" w:color="auto"/>
            <w:bottom w:val="none" w:sz="0" w:space="0" w:color="auto"/>
            <w:right w:val="none" w:sz="0" w:space="0" w:color="auto"/>
          </w:divBdr>
        </w:div>
        <w:div w:id="45036765">
          <w:marLeft w:val="547"/>
          <w:marRight w:val="0"/>
          <w:marTop w:val="120"/>
          <w:marBottom w:val="0"/>
          <w:divBdr>
            <w:top w:val="none" w:sz="0" w:space="0" w:color="auto"/>
            <w:left w:val="none" w:sz="0" w:space="0" w:color="auto"/>
            <w:bottom w:val="none" w:sz="0" w:space="0" w:color="auto"/>
            <w:right w:val="none" w:sz="0" w:space="0" w:color="auto"/>
          </w:divBdr>
        </w:div>
        <w:div w:id="1066798111">
          <w:marLeft w:val="547"/>
          <w:marRight w:val="0"/>
          <w:marTop w:val="120"/>
          <w:marBottom w:val="0"/>
          <w:divBdr>
            <w:top w:val="none" w:sz="0" w:space="0" w:color="auto"/>
            <w:left w:val="none" w:sz="0" w:space="0" w:color="auto"/>
            <w:bottom w:val="none" w:sz="0" w:space="0" w:color="auto"/>
            <w:right w:val="none" w:sz="0" w:space="0" w:color="auto"/>
          </w:divBdr>
        </w:div>
        <w:div w:id="1227954154">
          <w:marLeft w:val="547"/>
          <w:marRight w:val="0"/>
          <w:marTop w:val="120"/>
          <w:marBottom w:val="0"/>
          <w:divBdr>
            <w:top w:val="none" w:sz="0" w:space="0" w:color="auto"/>
            <w:left w:val="none" w:sz="0" w:space="0" w:color="auto"/>
            <w:bottom w:val="none" w:sz="0" w:space="0" w:color="auto"/>
            <w:right w:val="none" w:sz="0" w:space="0" w:color="auto"/>
          </w:divBdr>
        </w:div>
        <w:div w:id="659652496">
          <w:marLeft w:val="547"/>
          <w:marRight w:val="0"/>
          <w:marTop w:val="120"/>
          <w:marBottom w:val="0"/>
          <w:divBdr>
            <w:top w:val="none" w:sz="0" w:space="0" w:color="auto"/>
            <w:left w:val="none" w:sz="0" w:space="0" w:color="auto"/>
            <w:bottom w:val="none" w:sz="0" w:space="0" w:color="auto"/>
            <w:right w:val="none" w:sz="0" w:space="0" w:color="auto"/>
          </w:divBdr>
        </w:div>
      </w:divsChild>
    </w:div>
    <w:div w:id="2113083788">
      <w:bodyDiv w:val="1"/>
      <w:marLeft w:val="0"/>
      <w:marRight w:val="0"/>
      <w:marTop w:val="0"/>
      <w:marBottom w:val="0"/>
      <w:divBdr>
        <w:top w:val="none" w:sz="0" w:space="0" w:color="auto"/>
        <w:left w:val="none" w:sz="0" w:space="0" w:color="auto"/>
        <w:bottom w:val="none" w:sz="0" w:space="0" w:color="auto"/>
        <w:right w:val="none" w:sz="0" w:space="0" w:color="auto"/>
      </w:divBdr>
      <w:divsChild>
        <w:div w:id="152576402">
          <w:marLeft w:val="0"/>
          <w:marRight w:val="0"/>
          <w:marTop w:val="0"/>
          <w:marBottom w:val="0"/>
          <w:divBdr>
            <w:top w:val="none" w:sz="0" w:space="0" w:color="auto"/>
            <w:left w:val="none" w:sz="0" w:space="0" w:color="auto"/>
            <w:bottom w:val="none" w:sz="0" w:space="0" w:color="auto"/>
            <w:right w:val="none" w:sz="0" w:space="0" w:color="auto"/>
          </w:divBdr>
        </w:div>
        <w:div w:id="18555333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713912-24F2-4866-A26F-0832A9509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TotalTime>
  <Pages>2</Pages>
  <Words>682</Words>
  <Characters>3891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Gemmer</dc:creator>
  <cp:keywords/>
  <dc:description/>
  <cp:lastModifiedBy>Angela Gemmer</cp:lastModifiedBy>
  <cp:revision>44</cp:revision>
  <cp:lastPrinted>2022-06-08T17:13:00Z</cp:lastPrinted>
  <dcterms:created xsi:type="dcterms:W3CDTF">2022-12-07T02:02:00Z</dcterms:created>
  <dcterms:modified xsi:type="dcterms:W3CDTF">2023-01-31T21:34:00Z</dcterms:modified>
</cp:coreProperties>
</file>